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2E5817B"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C36CC9">
        <w:rPr>
          <w:rFonts w:ascii="Arial" w:hAnsi="Arial" w:cs="Arial"/>
          <w:sz w:val="24"/>
          <w:szCs w:val="28"/>
          <w:lang w:val="en-CA"/>
        </w:rPr>
        <w:t>02351</w:t>
      </w:r>
      <w:bookmarkStart w:id="0" w:name="_Hlk488924106"/>
      <w:bookmarkEnd w:id="0"/>
    </w:p>
    <w:p w14:paraId="4F58942D" w14:textId="73B8DA7B" w:rsidR="00D80957" w:rsidRPr="00457F73" w:rsidRDefault="00AA35A3" w:rsidP="005A4F39">
      <w:pPr>
        <w:pStyle w:val="Header"/>
        <w:tabs>
          <w:tab w:val="right" w:pos="9072"/>
        </w:tabs>
        <w:rPr>
          <w:rFonts w:ascii="Arial" w:hAnsi="Arial" w:cs="Arial"/>
          <w:sz w:val="24"/>
          <w:szCs w:val="28"/>
          <w:lang w:val="en-CA"/>
        </w:rPr>
      </w:pPr>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7D7EFE0E" w:rsidR="00D80957" w:rsidRPr="00EF221F" w:rsidRDefault="00D80957" w:rsidP="0033186E">
      <w:pPr>
        <w:tabs>
          <w:tab w:val="left" w:pos="1985"/>
        </w:tabs>
        <w:spacing w:before="240" w:after="0"/>
        <w:jc w:val="both"/>
        <w:rPr>
          <w:rFonts w:ascii="Arial" w:hAnsi="Arial" w:cs="Arial"/>
          <w:bCs/>
          <w:sz w:val="22"/>
          <w:szCs w:val="22"/>
          <w:lang w:val="en-US"/>
        </w:rPr>
      </w:pPr>
      <w:r w:rsidRPr="00EF221F">
        <w:rPr>
          <w:rFonts w:ascii="Arial" w:hAnsi="Arial" w:cs="Arial"/>
          <w:b/>
          <w:sz w:val="22"/>
          <w:szCs w:val="22"/>
          <w:lang w:val="en-US"/>
        </w:rPr>
        <w:t>Agenda Item:</w:t>
      </w:r>
      <w:r w:rsidRPr="00EF221F">
        <w:rPr>
          <w:rFonts w:ascii="Arial" w:hAnsi="Arial" w:cs="Arial"/>
          <w:b/>
          <w:sz w:val="22"/>
          <w:szCs w:val="22"/>
          <w:lang w:val="en-US"/>
        </w:rPr>
        <w:tab/>
      </w:r>
      <w:r w:rsidR="005B216E">
        <w:rPr>
          <w:rFonts w:ascii="Arial" w:hAnsi="Arial" w:cs="Arial"/>
          <w:sz w:val="22"/>
          <w:szCs w:val="22"/>
          <w:lang w:val="en-US"/>
        </w:rPr>
        <w:t>7.5.2.2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336FA42"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E5F2D" w:rsidRPr="002E5F2D">
        <w:rPr>
          <w:rFonts w:ascii="Arial" w:hAnsi="Arial" w:cs="Arial"/>
          <w:sz w:val="22"/>
          <w:szCs w:val="22"/>
          <w:lang w:val="en-CA"/>
        </w:rPr>
        <w:t>On incremental delay for dormancy switching on multiple CCs</w:t>
      </w:r>
    </w:p>
    <w:p w14:paraId="2FCB5745" w14:textId="6EC6A11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A67AEF">
        <w:rPr>
          <w:rFonts w:ascii="Arial" w:hAnsi="Arial" w:cs="Arial"/>
          <w:sz w:val="22"/>
          <w:szCs w:val="22"/>
          <w:lang w:val="en-CA"/>
        </w:rPr>
        <w:t>Approval</w:t>
      </w:r>
      <w:bookmarkStart w:id="1" w:name="_GoBack"/>
      <w:bookmarkEnd w:id="1"/>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46C4872F" w14:textId="2D14645C" w:rsidR="00515947" w:rsidRDefault="004A35EE" w:rsidP="00142C2E">
      <w:pPr>
        <w:rPr>
          <w:sz w:val="22"/>
          <w:lang w:val="en-CA"/>
        </w:rPr>
      </w:pPr>
      <w:r>
        <w:rPr>
          <w:sz w:val="22"/>
          <w:lang w:val="en-CA"/>
        </w:rPr>
        <w:t xml:space="preserve">In RAN4#97e, </w:t>
      </w:r>
      <w:r w:rsidR="009C006B">
        <w:rPr>
          <w:sz w:val="22"/>
          <w:lang w:val="en-CA"/>
        </w:rPr>
        <w:t>the following agreement was made:</w:t>
      </w:r>
    </w:p>
    <w:p w14:paraId="44B92212" w14:textId="77777777" w:rsidR="004A35EE" w:rsidRPr="004A35EE" w:rsidRDefault="004A35EE" w:rsidP="004A35EE">
      <w:pPr>
        <w:ind w:left="568"/>
        <w:rPr>
          <w:sz w:val="22"/>
          <w:lang w:val="en-CA"/>
        </w:rPr>
      </w:pPr>
      <w:r w:rsidRPr="004A35EE">
        <w:rPr>
          <w:sz w:val="22"/>
          <w:highlight w:val="green"/>
          <w:lang w:val="en-CA"/>
        </w:rPr>
        <w:t>Agreement:</w:t>
      </w:r>
    </w:p>
    <w:p w14:paraId="233A7F82" w14:textId="7E9C121D" w:rsidR="009C006B" w:rsidRPr="009C006B" w:rsidRDefault="004A35EE" w:rsidP="009C006B">
      <w:pPr>
        <w:pStyle w:val="ListParagraph"/>
        <w:numPr>
          <w:ilvl w:val="0"/>
          <w:numId w:val="46"/>
        </w:numPr>
        <w:tabs>
          <w:tab w:val="left" w:pos="2268"/>
        </w:tabs>
        <w:ind w:left="1276" w:hanging="348"/>
        <w:rPr>
          <w:sz w:val="22"/>
          <w:lang w:val="en-CA"/>
        </w:rPr>
      </w:pPr>
      <w:r w:rsidRPr="004A35EE">
        <w:rPr>
          <w:color w:val="4F81BD" w:themeColor="accent1"/>
          <w:sz w:val="22"/>
          <w:lang w:val="en-CA"/>
        </w:rPr>
        <w:t xml:space="preserve">Option 1: </w:t>
      </w:r>
      <w:r w:rsidR="009C006B">
        <w:rPr>
          <w:color w:val="4F81BD" w:themeColor="accent1"/>
          <w:sz w:val="22"/>
          <w:lang w:val="en-CA"/>
        </w:rPr>
        <w:tab/>
      </w:r>
      <w:r w:rsidRPr="004A35EE">
        <w:rPr>
          <w:sz w:val="22"/>
          <w:lang w:val="en-CA"/>
        </w:rPr>
        <w:t xml:space="preserve">Introduce a capability D’ for dormant BWP switching of multiple SCells that is </w:t>
      </w:r>
      <w:r w:rsidR="009C006B">
        <w:rPr>
          <w:sz w:val="22"/>
          <w:lang w:val="en-CA"/>
        </w:rPr>
        <w:tab/>
      </w:r>
      <w:r w:rsidRPr="004A35EE">
        <w:rPr>
          <w:sz w:val="22"/>
          <w:lang w:val="en-CA"/>
        </w:rPr>
        <w:t>separate from corresponding capability D for active BWP switching.</w:t>
      </w:r>
    </w:p>
    <w:p w14:paraId="64EAC8B0" w14:textId="4427367F" w:rsidR="004A35EE" w:rsidRDefault="009C006B" w:rsidP="00142C2E">
      <w:pPr>
        <w:rPr>
          <w:sz w:val="22"/>
          <w:lang w:val="en-CA"/>
        </w:rPr>
      </w:pPr>
      <w:r>
        <w:rPr>
          <w:sz w:val="22"/>
          <w:lang w:val="en-CA"/>
        </w:rPr>
        <w:t xml:space="preserve">Since the agreement was made late in the meeting, the corresponding specification change did not get implemented in CRs but was documented in a WF </w:t>
      </w:r>
      <w:r>
        <w:rPr>
          <w:sz w:val="22"/>
          <w:lang w:val="en-CA"/>
        </w:rPr>
        <w:fldChar w:fldCharType="begin"/>
      </w:r>
      <w:r>
        <w:rPr>
          <w:sz w:val="22"/>
          <w:lang w:val="en-CA"/>
        </w:rPr>
        <w:instrText xml:space="preserve"> REF _Ref60925107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and left for handling in RAN4#98e.</w:t>
      </w:r>
    </w:p>
    <w:p w14:paraId="1A8AFFA8" w14:textId="674BBA99" w:rsidR="004A35EE" w:rsidRPr="00DF54C9" w:rsidRDefault="009C006B" w:rsidP="00142C2E">
      <w:pPr>
        <w:rPr>
          <w:sz w:val="22"/>
          <w:lang w:val="en-CA"/>
        </w:rPr>
      </w:pPr>
      <w:r>
        <w:rPr>
          <w:sz w:val="22"/>
          <w:lang w:val="en-CA"/>
        </w:rPr>
        <w:t>In this contribution we provide our input on specification changes and an LS for informing RAN1/RAN2 on the new capability.</w:t>
      </w:r>
    </w:p>
    <w:p w14:paraId="130C0ADA" w14:textId="246C9C88" w:rsidR="0093067B" w:rsidRDefault="00515947" w:rsidP="008C00CE">
      <w:pPr>
        <w:pStyle w:val="Heading1"/>
        <w:ind w:left="431" w:hanging="431"/>
        <w:rPr>
          <w:szCs w:val="36"/>
          <w:lang w:val="en-CA"/>
        </w:rPr>
      </w:pPr>
      <w:r>
        <w:rPr>
          <w:szCs w:val="36"/>
          <w:lang w:val="en-CA"/>
        </w:rPr>
        <w:t>Discussion</w:t>
      </w:r>
    </w:p>
    <w:p w14:paraId="2117B93F" w14:textId="00DAAC5C" w:rsidR="00851177" w:rsidRDefault="00CB2FFF" w:rsidP="00CB2FFF">
      <w:pPr>
        <w:rPr>
          <w:sz w:val="22"/>
          <w:szCs w:val="22"/>
          <w:lang w:val="en-CA"/>
        </w:rPr>
      </w:pPr>
      <w:r w:rsidRPr="00CB2FFF">
        <w:rPr>
          <w:sz w:val="22"/>
          <w:szCs w:val="22"/>
          <w:lang w:val="en-CA"/>
        </w:rPr>
        <w:t xml:space="preserve">It was agreed that the introduced capability for incremental switching time for dormancy switching on multiple CCs would be based on the same set of values that is applicable to a UE which is </w:t>
      </w:r>
      <w:r>
        <w:rPr>
          <w:sz w:val="22"/>
          <w:szCs w:val="22"/>
          <w:lang w:val="en-CA"/>
        </w:rPr>
        <w:t>reporting</w:t>
      </w:r>
      <w:r w:rsidRPr="00CB2FFF">
        <w:t xml:space="preserve"> </w:t>
      </w:r>
      <w:r w:rsidRPr="00CB2FFF">
        <w:rPr>
          <w:i/>
          <w:iCs/>
          <w:sz w:val="22"/>
          <w:szCs w:val="22"/>
          <w:lang w:val="en-CA"/>
        </w:rPr>
        <w:t>bwp-SwitchingDelay</w:t>
      </w:r>
      <w:r>
        <w:rPr>
          <w:sz w:val="22"/>
          <w:szCs w:val="22"/>
          <w:lang w:val="en-CA"/>
        </w:rPr>
        <w:t xml:space="preserve"> Type 1 or Type 2, respectively.</w:t>
      </w:r>
    </w:p>
    <w:p w14:paraId="6012FAFE" w14:textId="71D38751" w:rsidR="00CB79D7" w:rsidRDefault="00CB79D7" w:rsidP="00CB2FFF">
      <w:pPr>
        <w:rPr>
          <w:sz w:val="22"/>
          <w:szCs w:val="22"/>
          <w:lang w:val="en-CA"/>
        </w:rPr>
      </w:pPr>
      <w:r>
        <w:rPr>
          <w:sz w:val="22"/>
          <w:szCs w:val="22"/>
          <w:lang w:val="en-CA"/>
        </w:rPr>
        <w:t xml:space="preserve">Existing capability reporting for DCI and timer-based BWP switching is shown in Table 2-1 below. It is mandatory for the UE to report whether it supports </w:t>
      </w:r>
      <w:r w:rsidRPr="00CB79D7">
        <w:rPr>
          <w:i/>
          <w:iCs/>
          <w:sz w:val="22"/>
          <w:szCs w:val="22"/>
          <w:lang w:val="en-CA"/>
        </w:rPr>
        <w:t>bwp-SwitchingDelay</w:t>
      </w:r>
      <w:r>
        <w:rPr>
          <w:sz w:val="22"/>
          <w:szCs w:val="22"/>
          <w:lang w:val="en-CA"/>
        </w:rPr>
        <w:t xml:space="preserve"> Type 1 or Type 2 with respect to BWP switching on a single carrier.</w:t>
      </w:r>
    </w:p>
    <w:p w14:paraId="6B7074F1" w14:textId="56445908" w:rsidR="00CB79D7" w:rsidRPr="00CB79D7" w:rsidRDefault="00CB79D7" w:rsidP="00CB2FFF">
      <w:pPr>
        <w:rPr>
          <w:sz w:val="22"/>
          <w:szCs w:val="22"/>
          <w:lang w:val="en-CA"/>
        </w:rPr>
      </w:pPr>
      <w:r>
        <w:rPr>
          <w:sz w:val="22"/>
          <w:szCs w:val="22"/>
          <w:lang w:val="en-CA"/>
        </w:rPr>
        <w:t xml:space="preserve">A UE that supports the optional feature for simultaneous BWP switching on multiple CCs, will report a capability with respect to incremental switching time per additional CC, </w:t>
      </w:r>
      <w:r w:rsidRPr="00CB79D7">
        <w:rPr>
          <w:i/>
          <w:iCs/>
          <w:sz w:val="22"/>
          <w:szCs w:val="22"/>
          <w:lang w:val="en-CA"/>
        </w:rPr>
        <w:t>bwp-SwitchingMultiCCs-r16</w:t>
      </w:r>
      <w:r>
        <w:rPr>
          <w:sz w:val="22"/>
          <w:szCs w:val="22"/>
          <w:lang w:val="en-CA"/>
        </w:rPr>
        <w:t xml:space="preserve">, where the set of </w:t>
      </w:r>
      <w:r w:rsidR="008F2382">
        <w:rPr>
          <w:sz w:val="22"/>
          <w:szCs w:val="22"/>
          <w:lang w:val="en-CA"/>
        </w:rPr>
        <w:t xml:space="preserve">valid </w:t>
      </w:r>
      <w:r>
        <w:rPr>
          <w:sz w:val="22"/>
          <w:szCs w:val="22"/>
          <w:lang w:val="en-CA"/>
        </w:rPr>
        <w:t xml:space="preserve">values that can be reported depends on whether the UE has reported </w:t>
      </w:r>
      <w:r w:rsidRPr="00CB79D7">
        <w:rPr>
          <w:i/>
          <w:iCs/>
          <w:sz w:val="22"/>
          <w:szCs w:val="22"/>
          <w:lang w:val="en-CA"/>
        </w:rPr>
        <w:t>bwp-SwitchingDelay</w:t>
      </w:r>
      <w:r>
        <w:rPr>
          <w:sz w:val="22"/>
          <w:szCs w:val="22"/>
          <w:lang w:val="en-CA"/>
        </w:rPr>
        <w:t xml:space="preserve"> Type 1 or Type 2.</w:t>
      </w:r>
    </w:p>
    <w:p w14:paraId="108D433D" w14:textId="663F6B95" w:rsidR="005B6C2F" w:rsidRDefault="00851177" w:rsidP="00851177">
      <w:pPr>
        <w:jc w:val="center"/>
        <w:rPr>
          <w:rFonts w:eastAsia="Times New Roman"/>
          <w:sz w:val="22"/>
          <w:szCs w:val="22"/>
          <w:lang w:eastAsia="ko-KR"/>
        </w:rPr>
      </w:pPr>
      <w:r w:rsidRPr="00CB2FFF">
        <w:rPr>
          <w:rFonts w:eastAsia="Times New Roman"/>
          <w:b/>
          <w:bCs/>
          <w:sz w:val="22"/>
          <w:szCs w:val="22"/>
          <w:lang w:eastAsia="ko-KR"/>
        </w:rPr>
        <w:t>Table 2-1:</w:t>
      </w:r>
      <w:r>
        <w:rPr>
          <w:rFonts w:eastAsia="Times New Roman"/>
          <w:sz w:val="22"/>
          <w:szCs w:val="22"/>
          <w:lang w:eastAsia="ko-KR"/>
        </w:rPr>
        <w:t xml:space="preserve"> UE capabilities pertaining to BWP switching delay on single or multiple CCs </w:t>
      </w:r>
      <w:r>
        <w:rPr>
          <w:rFonts w:eastAsia="Times New Roman"/>
          <w:sz w:val="22"/>
          <w:szCs w:val="22"/>
          <w:lang w:eastAsia="ko-KR"/>
        </w:rPr>
        <w:fldChar w:fldCharType="begin"/>
      </w:r>
      <w:r>
        <w:rPr>
          <w:rFonts w:eastAsia="Times New Roman"/>
          <w:sz w:val="22"/>
          <w:szCs w:val="22"/>
          <w:lang w:eastAsia="ko-KR"/>
        </w:rPr>
        <w:instrText xml:space="preserve"> REF _Ref60918023 \r \h </w:instrText>
      </w:r>
      <w:r>
        <w:rPr>
          <w:rFonts w:eastAsia="Times New Roman"/>
          <w:sz w:val="22"/>
          <w:szCs w:val="22"/>
          <w:lang w:eastAsia="ko-KR"/>
        </w:rPr>
      </w:r>
      <w:r>
        <w:rPr>
          <w:rFonts w:eastAsia="Times New Roman"/>
          <w:sz w:val="22"/>
          <w:szCs w:val="22"/>
          <w:lang w:eastAsia="ko-KR"/>
        </w:rPr>
        <w:fldChar w:fldCharType="separate"/>
      </w:r>
      <w:r>
        <w:rPr>
          <w:rFonts w:eastAsia="Times New Roman"/>
          <w:sz w:val="22"/>
          <w:szCs w:val="22"/>
          <w:lang w:eastAsia="ko-KR"/>
        </w:rPr>
        <w:t>[3]</w:t>
      </w:r>
      <w:r>
        <w:rPr>
          <w:rFonts w:eastAsia="Times New Roman"/>
          <w:sz w:val="22"/>
          <w:szCs w:val="22"/>
          <w:lang w:eastAsia="ko-KR"/>
        </w:rPr>
        <w:fldChar w:fldCharType="end"/>
      </w:r>
    </w:p>
    <w:tbl>
      <w:tblPr>
        <w:tblW w:w="8364"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812"/>
        <w:gridCol w:w="567"/>
        <w:gridCol w:w="567"/>
        <w:gridCol w:w="709"/>
        <w:gridCol w:w="709"/>
      </w:tblGrid>
      <w:tr w:rsidR="00851177" w:rsidRPr="00851177" w14:paraId="2EBA1A7D" w14:textId="77777777" w:rsidTr="00851177">
        <w:trPr>
          <w:cantSplit/>
          <w:tblHeader/>
        </w:trPr>
        <w:tc>
          <w:tcPr>
            <w:tcW w:w="5812" w:type="dxa"/>
            <w:tcBorders>
              <w:top w:val="single" w:sz="4" w:space="0" w:color="808080"/>
              <w:left w:val="single" w:sz="4" w:space="0" w:color="808080"/>
              <w:bottom w:val="single" w:sz="4" w:space="0" w:color="808080"/>
              <w:right w:val="single" w:sz="4" w:space="0" w:color="808080"/>
            </w:tcBorders>
          </w:tcPr>
          <w:p w14:paraId="3DFD81A9" w14:textId="77777777" w:rsidR="008C00CE" w:rsidRPr="00851177" w:rsidRDefault="008C00CE" w:rsidP="008C00CE">
            <w:pPr>
              <w:pStyle w:val="TAL"/>
              <w:rPr>
                <w:b/>
                <w:bCs/>
                <w:i/>
                <w:iCs/>
                <w:sz w:val="16"/>
                <w:szCs w:val="18"/>
              </w:rPr>
            </w:pPr>
            <w:r w:rsidRPr="00851177">
              <w:rPr>
                <w:b/>
                <w:bCs/>
                <w:i/>
                <w:iCs/>
                <w:sz w:val="16"/>
                <w:szCs w:val="18"/>
              </w:rPr>
              <w:t>Definitions for parameters</w:t>
            </w:r>
          </w:p>
        </w:tc>
        <w:tc>
          <w:tcPr>
            <w:tcW w:w="567" w:type="dxa"/>
            <w:tcBorders>
              <w:top w:val="single" w:sz="4" w:space="0" w:color="808080"/>
              <w:left w:val="single" w:sz="4" w:space="0" w:color="808080"/>
              <w:bottom w:val="single" w:sz="4" w:space="0" w:color="808080"/>
              <w:right w:val="single" w:sz="4" w:space="0" w:color="808080"/>
            </w:tcBorders>
          </w:tcPr>
          <w:p w14:paraId="41641326" w14:textId="77777777" w:rsidR="008C00CE" w:rsidRPr="00851177" w:rsidRDefault="008C00CE" w:rsidP="008C00CE">
            <w:pPr>
              <w:pStyle w:val="TAL"/>
              <w:rPr>
                <w:sz w:val="16"/>
                <w:szCs w:val="18"/>
              </w:rPr>
            </w:pPr>
            <w:r w:rsidRPr="00851177">
              <w:rPr>
                <w:sz w:val="16"/>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373F8214" w14:textId="77777777" w:rsidR="008C00CE" w:rsidRPr="00851177" w:rsidRDefault="008C00CE" w:rsidP="008C00CE">
            <w:pPr>
              <w:pStyle w:val="TAL"/>
              <w:rPr>
                <w:sz w:val="16"/>
                <w:szCs w:val="18"/>
              </w:rPr>
            </w:pPr>
            <w:r w:rsidRPr="00851177">
              <w:rPr>
                <w:sz w:val="16"/>
                <w:szCs w:val="18"/>
              </w:rPr>
              <w:t>M</w:t>
            </w:r>
          </w:p>
        </w:tc>
        <w:tc>
          <w:tcPr>
            <w:tcW w:w="709" w:type="dxa"/>
            <w:tcBorders>
              <w:top w:val="single" w:sz="4" w:space="0" w:color="808080"/>
              <w:left w:val="single" w:sz="4" w:space="0" w:color="808080"/>
              <w:bottom w:val="single" w:sz="4" w:space="0" w:color="808080"/>
              <w:right w:val="single" w:sz="4" w:space="0" w:color="808080"/>
            </w:tcBorders>
          </w:tcPr>
          <w:p w14:paraId="1A6E1AFA" w14:textId="77777777" w:rsidR="008C00CE" w:rsidRPr="00851177" w:rsidRDefault="008C00CE" w:rsidP="008C00CE">
            <w:pPr>
              <w:pStyle w:val="TAL"/>
              <w:rPr>
                <w:sz w:val="16"/>
                <w:szCs w:val="18"/>
              </w:rPr>
            </w:pPr>
            <w:r w:rsidRPr="00851177">
              <w:rPr>
                <w:sz w:val="16"/>
                <w:szCs w:val="18"/>
              </w:rPr>
              <w:t>FDD-TDD</w:t>
            </w:r>
          </w:p>
          <w:p w14:paraId="0D0D96E8" w14:textId="77777777" w:rsidR="008C00CE" w:rsidRPr="00851177" w:rsidRDefault="008C00CE" w:rsidP="008C00CE">
            <w:pPr>
              <w:pStyle w:val="TAL"/>
              <w:rPr>
                <w:sz w:val="16"/>
                <w:szCs w:val="18"/>
              </w:rPr>
            </w:pPr>
            <w:r w:rsidRPr="00851177">
              <w:rPr>
                <w:sz w:val="16"/>
                <w:szCs w:val="18"/>
              </w:rPr>
              <w:t>DIFF</w:t>
            </w:r>
          </w:p>
        </w:tc>
        <w:tc>
          <w:tcPr>
            <w:tcW w:w="709" w:type="dxa"/>
            <w:tcBorders>
              <w:top w:val="single" w:sz="4" w:space="0" w:color="808080"/>
              <w:left w:val="single" w:sz="4" w:space="0" w:color="808080"/>
              <w:bottom w:val="single" w:sz="4" w:space="0" w:color="808080"/>
              <w:right w:val="single" w:sz="4" w:space="0" w:color="808080"/>
            </w:tcBorders>
          </w:tcPr>
          <w:p w14:paraId="5D62EA97" w14:textId="77777777" w:rsidR="008C00CE" w:rsidRPr="00851177" w:rsidRDefault="008C00CE" w:rsidP="008C00CE">
            <w:pPr>
              <w:pStyle w:val="TAL"/>
              <w:rPr>
                <w:sz w:val="16"/>
                <w:szCs w:val="18"/>
              </w:rPr>
            </w:pPr>
            <w:r w:rsidRPr="00851177">
              <w:rPr>
                <w:sz w:val="16"/>
                <w:szCs w:val="18"/>
              </w:rPr>
              <w:t>FR1-FR2</w:t>
            </w:r>
          </w:p>
          <w:p w14:paraId="36CE986B" w14:textId="77777777" w:rsidR="008C00CE" w:rsidRPr="00851177" w:rsidRDefault="008C00CE" w:rsidP="008C00CE">
            <w:pPr>
              <w:pStyle w:val="TAL"/>
              <w:rPr>
                <w:sz w:val="16"/>
                <w:szCs w:val="18"/>
              </w:rPr>
            </w:pPr>
            <w:r w:rsidRPr="00851177">
              <w:rPr>
                <w:sz w:val="16"/>
                <w:szCs w:val="18"/>
              </w:rPr>
              <w:t>DIFF</w:t>
            </w:r>
          </w:p>
        </w:tc>
      </w:tr>
      <w:tr w:rsidR="005B6C2F" w:rsidRPr="00851177" w14:paraId="618FA904" w14:textId="77777777" w:rsidTr="00851177">
        <w:trPr>
          <w:cantSplit/>
          <w:tblHeader/>
        </w:trPr>
        <w:tc>
          <w:tcPr>
            <w:tcW w:w="5812" w:type="dxa"/>
          </w:tcPr>
          <w:p w14:paraId="466E1726" w14:textId="77777777" w:rsidR="005B6C2F" w:rsidRPr="00851177" w:rsidRDefault="005B6C2F" w:rsidP="00136342">
            <w:pPr>
              <w:pStyle w:val="TAL"/>
              <w:rPr>
                <w:b/>
                <w:bCs/>
                <w:i/>
                <w:iCs/>
                <w:sz w:val="16"/>
                <w:szCs w:val="18"/>
              </w:rPr>
            </w:pPr>
            <w:r w:rsidRPr="00851177">
              <w:rPr>
                <w:b/>
                <w:bCs/>
                <w:i/>
                <w:iCs/>
                <w:sz w:val="16"/>
                <w:szCs w:val="18"/>
              </w:rPr>
              <w:t>bwp-SwitchingDelay</w:t>
            </w:r>
          </w:p>
          <w:p w14:paraId="087AE3F3" w14:textId="77777777" w:rsidR="005B6C2F" w:rsidRPr="00851177" w:rsidRDefault="005B6C2F" w:rsidP="00136342">
            <w:pPr>
              <w:pStyle w:val="TAL"/>
              <w:rPr>
                <w:sz w:val="16"/>
                <w:szCs w:val="18"/>
              </w:rPr>
            </w:pPr>
            <w:r w:rsidRPr="00851177">
              <w:rPr>
                <w:bCs/>
                <w:iCs/>
                <w:sz w:val="16"/>
                <w:szCs w:val="18"/>
              </w:rPr>
              <w:t xml:space="preserve">Defines whether the UE supports DCI and timer based active BWP switching delay </w:t>
            </w:r>
            <w:r w:rsidRPr="00851177">
              <w:rPr>
                <w:bCs/>
                <w:iCs/>
                <w:sz w:val="16"/>
                <w:szCs w:val="18"/>
                <w:shd w:val="clear" w:color="auto" w:fill="B6DDE8" w:themeFill="accent5" w:themeFillTint="66"/>
              </w:rPr>
              <w:t>type1</w:t>
            </w:r>
            <w:r w:rsidRPr="00851177">
              <w:rPr>
                <w:bCs/>
                <w:iCs/>
                <w:sz w:val="16"/>
                <w:szCs w:val="18"/>
              </w:rPr>
              <w:t xml:space="preserve"> or </w:t>
            </w:r>
            <w:r w:rsidRPr="00851177">
              <w:rPr>
                <w:bCs/>
                <w:iCs/>
                <w:sz w:val="16"/>
                <w:szCs w:val="18"/>
                <w:shd w:val="clear" w:color="auto" w:fill="CCC0D9" w:themeFill="accent4" w:themeFillTint="66"/>
              </w:rPr>
              <w:t>type2</w:t>
            </w:r>
            <w:r w:rsidRPr="00851177">
              <w:rPr>
                <w:bCs/>
                <w:iCs/>
                <w:sz w:val="16"/>
                <w:szCs w:val="18"/>
              </w:rPr>
              <w:t xml:space="preserve"> specified in clause 8.6.2 of TS 38.133 [5]. It is mandatory to report type 1 or type 2. This capability is not applicable to IAB-MT.</w:t>
            </w:r>
          </w:p>
        </w:tc>
        <w:tc>
          <w:tcPr>
            <w:tcW w:w="567" w:type="dxa"/>
          </w:tcPr>
          <w:p w14:paraId="6D879E44" w14:textId="77777777" w:rsidR="005B6C2F" w:rsidRPr="00851177" w:rsidRDefault="005B6C2F" w:rsidP="00136342">
            <w:pPr>
              <w:pStyle w:val="TAL"/>
              <w:jc w:val="center"/>
              <w:rPr>
                <w:sz w:val="16"/>
                <w:szCs w:val="18"/>
              </w:rPr>
            </w:pPr>
            <w:r w:rsidRPr="00851177">
              <w:rPr>
                <w:sz w:val="16"/>
                <w:szCs w:val="18"/>
              </w:rPr>
              <w:t>UE</w:t>
            </w:r>
          </w:p>
        </w:tc>
        <w:tc>
          <w:tcPr>
            <w:tcW w:w="567" w:type="dxa"/>
          </w:tcPr>
          <w:p w14:paraId="06CF915D" w14:textId="77777777" w:rsidR="005B6C2F" w:rsidRPr="00851177" w:rsidRDefault="005B6C2F" w:rsidP="00136342">
            <w:pPr>
              <w:pStyle w:val="TAL"/>
              <w:jc w:val="center"/>
              <w:rPr>
                <w:sz w:val="16"/>
                <w:szCs w:val="18"/>
              </w:rPr>
            </w:pPr>
            <w:r w:rsidRPr="00851177">
              <w:rPr>
                <w:sz w:val="16"/>
                <w:szCs w:val="18"/>
              </w:rPr>
              <w:t>Yes</w:t>
            </w:r>
          </w:p>
        </w:tc>
        <w:tc>
          <w:tcPr>
            <w:tcW w:w="709" w:type="dxa"/>
          </w:tcPr>
          <w:p w14:paraId="64085D99" w14:textId="77777777" w:rsidR="005B6C2F" w:rsidRPr="00851177" w:rsidRDefault="005B6C2F" w:rsidP="00136342">
            <w:pPr>
              <w:pStyle w:val="TAL"/>
              <w:jc w:val="center"/>
              <w:rPr>
                <w:sz w:val="16"/>
                <w:szCs w:val="18"/>
              </w:rPr>
            </w:pPr>
            <w:r w:rsidRPr="00851177">
              <w:rPr>
                <w:sz w:val="16"/>
                <w:szCs w:val="18"/>
              </w:rPr>
              <w:t>No</w:t>
            </w:r>
          </w:p>
        </w:tc>
        <w:tc>
          <w:tcPr>
            <w:tcW w:w="709" w:type="dxa"/>
          </w:tcPr>
          <w:p w14:paraId="2FFB94FE" w14:textId="77777777" w:rsidR="005B6C2F" w:rsidRPr="00851177" w:rsidRDefault="005B6C2F" w:rsidP="00136342">
            <w:pPr>
              <w:pStyle w:val="TAL"/>
              <w:jc w:val="center"/>
              <w:rPr>
                <w:sz w:val="16"/>
                <w:szCs w:val="18"/>
              </w:rPr>
            </w:pPr>
            <w:r w:rsidRPr="00851177">
              <w:rPr>
                <w:sz w:val="16"/>
                <w:szCs w:val="18"/>
              </w:rPr>
              <w:t>No</w:t>
            </w:r>
          </w:p>
        </w:tc>
      </w:tr>
      <w:tr w:rsidR="005B6C2F" w:rsidRPr="00851177" w14:paraId="36AD7B20" w14:textId="77777777" w:rsidTr="00851177">
        <w:trPr>
          <w:cantSplit/>
          <w:tblHeader/>
        </w:trPr>
        <w:tc>
          <w:tcPr>
            <w:tcW w:w="5812" w:type="dxa"/>
          </w:tcPr>
          <w:p w14:paraId="5F53E900" w14:textId="77777777" w:rsidR="005B6C2F" w:rsidRPr="00851177" w:rsidRDefault="005B6C2F" w:rsidP="00136342">
            <w:pPr>
              <w:pStyle w:val="TAL"/>
              <w:rPr>
                <w:b/>
                <w:bCs/>
                <w:i/>
                <w:iCs/>
                <w:sz w:val="16"/>
                <w:szCs w:val="18"/>
              </w:rPr>
            </w:pPr>
            <w:r w:rsidRPr="00851177">
              <w:rPr>
                <w:b/>
                <w:bCs/>
                <w:i/>
                <w:iCs/>
                <w:sz w:val="16"/>
                <w:szCs w:val="18"/>
              </w:rPr>
              <w:t>bwp-SwitchingMultiCCs-r16</w:t>
            </w:r>
          </w:p>
          <w:p w14:paraId="311E8A14" w14:textId="77777777" w:rsidR="005B6C2F" w:rsidRPr="00851177" w:rsidRDefault="005B6C2F" w:rsidP="00136342">
            <w:pPr>
              <w:pStyle w:val="TAL"/>
              <w:rPr>
                <w:sz w:val="16"/>
                <w:szCs w:val="18"/>
              </w:rPr>
            </w:pPr>
            <w:r w:rsidRPr="00851177">
              <w:rPr>
                <w:sz w:val="16"/>
                <w:szCs w:val="18"/>
              </w:rPr>
              <w:t>Indicates whether the UE supports incremental delay for DCI and timer based active BWP switching on multiple CCs simultaneously as specified in TS 38.133 [5]. The capability signalling comprises of the following:</w:t>
            </w:r>
          </w:p>
          <w:p w14:paraId="7BA3FC60" w14:textId="77777777" w:rsidR="005B6C2F" w:rsidRPr="00851177" w:rsidRDefault="005B6C2F" w:rsidP="00136342">
            <w:pPr>
              <w:pStyle w:val="B1"/>
              <w:spacing w:after="0"/>
              <w:rPr>
                <w:rFonts w:ascii="Arial" w:hAnsi="Arial" w:cs="Arial"/>
                <w:sz w:val="16"/>
                <w:szCs w:val="18"/>
              </w:rPr>
            </w:pPr>
            <w:r w:rsidRPr="00851177">
              <w:rPr>
                <w:rFonts w:ascii="Arial" w:hAnsi="Arial" w:cs="Arial"/>
                <w:sz w:val="16"/>
                <w:szCs w:val="18"/>
              </w:rPr>
              <w:t>-</w:t>
            </w:r>
            <w:r w:rsidRPr="00851177">
              <w:rPr>
                <w:rFonts w:ascii="Arial" w:hAnsi="Arial" w:cs="Arial"/>
                <w:sz w:val="16"/>
                <w:szCs w:val="18"/>
              </w:rPr>
              <w:tab/>
            </w:r>
            <w:r w:rsidRPr="00851177">
              <w:rPr>
                <w:rFonts w:ascii="Arial" w:hAnsi="Arial" w:cs="Arial"/>
                <w:i/>
                <w:iCs/>
                <w:sz w:val="16"/>
                <w:szCs w:val="18"/>
              </w:rPr>
              <w:t>type1-r16</w:t>
            </w:r>
            <w:r w:rsidRPr="00851177">
              <w:rPr>
                <w:rFonts w:ascii="Arial" w:hAnsi="Arial" w:cs="Arial"/>
                <w:sz w:val="16"/>
                <w:szCs w:val="18"/>
              </w:rPr>
              <w:t xml:space="preserve"> indicates the delay value for type 1 BWP switching delay for type1 and has values of </w:t>
            </w:r>
            <w:r w:rsidRPr="00851177">
              <w:rPr>
                <w:rFonts w:ascii="Arial" w:hAnsi="Arial" w:cs="Arial"/>
                <w:sz w:val="16"/>
                <w:szCs w:val="18"/>
                <w:shd w:val="clear" w:color="auto" w:fill="B6DDE8" w:themeFill="accent5" w:themeFillTint="66"/>
              </w:rPr>
              <w:t>{100us, 200us}</w:t>
            </w:r>
          </w:p>
          <w:p w14:paraId="5D15EA48" w14:textId="77777777" w:rsidR="005B6C2F" w:rsidRPr="00851177" w:rsidRDefault="005B6C2F" w:rsidP="00136342">
            <w:pPr>
              <w:pStyle w:val="B1"/>
              <w:spacing w:after="0"/>
              <w:rPr>
                <w:rFonts w:ascii="Arial" w:hAnsi="Arial" w:cs="Arial"/>
                <w:sz w:val="16"/>
                <w:szCs w:val="18"/>
              </w:rPr>
            </w:pPr>
            <w:r w:rsidRPr="00851177">
              <w:rPr>
                <w:rFonts w:ascii="Arial" w:hAnsi="Arial" w:cs="Arial"/>
                <w:sz w:val="16"/>
                <w:szCs w:val="18"/>
              </w:rPr>
              <w:t>-</w:t>
            </w:r>
            <w:r w:rsidRPr="00851177">
              <w:rPr>
                <w:rFonts w:ascii="Arial" w:hAnsi="Arial" w:cs="Arial"/>
                <w:sz w:val="16"/>
                <w:szCs w:val="18"/>
              </w:rPr>
              <w:tab/>
            </w:r>
            <w:r w:rsidRPr="00851177">
              <w:rPr>
                <w:rFonts w:ascii="Arial" w:hAnsi="Arial" w:cs="Arial"/>
                <w:i/>
                <w:iCs/>
                <w:sz w:val="16"/>
                <w:szCs w:val="18"/>
              </w:rPr>
              <w:t xml:space="preserve">type2-r16 </w:t>
            </w:r>
            <w:r w:rsidRPr="00851177">
              <w:rPr>
                <w:rFonts w:ascii="Arial" w:hAnsi="Arial" w:cs="Arial"/>
                <w:sz w:val="16"/>
                <w:szCs w:val="18"/>
              </w:rPr>
              <w:t xml:space="preserve">indicates the delay value for type 2 BWP switching delay and has values of </w:t>
            </w:r>
            <w:r w:rsidRPr="00851177">
              <w:rPr>
                <w:rFonts w:ascii="Arial" w:hAnsi="Arial" w:cs="Arial"/>
                <w:sz w:val="16"/>
                <w:szCs w:val="18"/>
                <w:shd w:val="clear" w:color="auto" w:fill="CCC0D9" w:themeFill="accent4" w:themeFillTint="66"/>
              </w:rPr>
              <w:t>{200us, 400us, 800us, 1000us}</w:t>
            </w:r>
          </w:p>
          <w:p w14:paraId="2CC9AC4A" w14:textId="77777777" w:rsidR="005B6C2F" w:rsidRPr="00851177" w:rsidRDefault="005B6C2F" w:rsidP="00136342">
            <w:pPr>
              <w:pStyle w:val="B1"/>
              <w:spacing w:after="0"/>
              <w:rPr>
                <w:rFonts w:ascii="Arial" w:hAnsi="Arial" w:cs="Arial"/>
                <w:sz w:val="16"/>
                <w:szCs w:val="18"/>
              </w:rPr>
            </w:pPr>
          </w:p>
          <w:p w14:paraId="4FE36E72" w14:textId="77777777" w:rsidR="005B6C2F" w:rsidRPr="00851177" w:rsidRDefault="005B6C2F" w:rsidP="00136342">
            <w:pPr>
              <w:pStyle w:val="TAL"/>
              <w:rPr>
                <w:b/>
                <w:bCs/>
                <w:i/>
                <w:iCs/>
                <w:sz w:val="16"/>
                <w:szCs w:val="18"/>
              </w:rPr>
            </w:pPr>
            <w:r w:rsidRPr="00851177">
              <w:rPr>
                <w:sz w:val="16"/>
                <w:szCs w:val="18"/>
              </w:rPr>
              <w:t xml:space="preserve">UE indicates support of this feature indicates support of </w:t>
            </w:r>
            <w:r w:rsidRPr="00851177">
              <w:rPr>
                <w:i/>
                <w:iCs/>
                <w:sz w:val="16"/>
                <w:szCs w:val="18"/>
              </w:rPr>
              <w:t>bwp-SwitchingDelay</w:t>
            </w:r>
            <w:r w:rsidRPr="00851177">
              <w:rPr>
                <w:sz w:val="16"/>
                <w:szCs w:val="18"/>
              </w:rPr>
              <w:t>,</w:t>
            </w:r>
            <w:r w:rsidRPr="00851177">
              <w:rPr>
                <w:i/>
                <w:sz w:val="16"/>
                <w:szCs w:val="18"/>
              </w:rPr>
              <w:t xml:space="preserve"> bwp-SameNumerology</w:t>
            </w:r>
            <w:r w:rsidRPr="00851177">
              <w:rPr>
                <w:sz w:val="16"/>
                <w:szCs w:val="18"/>
              </w:rPr>
              <w:t xml:space="preserve"> and </w:t>
            </w:r>
            <w:r w:rsidRPr="00851177">
              <w:rPr>
                <w:i/>
                <w:sz w:val="16"/>
                <w:szCs w:val="18"/>
              </w:rPr>
              <w:t>bwp-DiffNumerology</w:t>
            </w:r>
            <w:r w:rsidRPr="00851177">
              <w:rPr>
                <w:sz w:val="16"/>
                <w:szCs w:val="18"/>
              </w:rPr>
              <w:t>.</w:t>
            </w:r>
          </w:p>
        </w:tc>
        <w:tc>
          <w:tcPr>
            <w:tcW w:w="567" w:type="dxa"/>
          </w:tcPr>
          <w:p w14:paraId="6310E3E7" w14:textId="77777777" w:rsidR="005B6C2F" w:rsidRPr="00851177" w:rsidRDefault="005B6C2F" w:rsidP="00136342">
            <w:pPr>
              <w:pStyle w:val="TAL"/>
              <w:jc w:val="center"/>
              <w:rPr>
                <w:sz w:val="16"/>
                <w:szCs w:val="18"/>
              </w:rPr>
            </w:pPr>
            <w:r w:rsidRPr="00851177">
              <w:rPr>
                <w:sz w:val="16"/>
                <w:szCs w:val="18"/>
              </w:rPr>
              <w:t>UE</w:t>
            </w:r>
          </w:p>
        </w:tc>
        <w:tc>
          <w:tcPr>
            <w:tcW w:w="567" w:type="dxa"/>
          </w:tcPr>
          <w:p w14:paraId="1A04029E" w14:textId="77777777" w:rsidR="005B6C2F" w:rsidRPr="00851177" w:rsidRDefault="005B6C2F" w:rsidP="00136342">
            <w:pPr>
              <w:pStyle w:val="TAL"/>
              <w:jc w:val="center"/>
              <w:rPr>
                <w:sz w:val="16"/>
                <w:szCs w:val="18"/>
              </w:rPr>
            </w:pPr>
            <w:r w:rsidRPr="00851177">
              <w:rPr>
                <w:sz w:val="16"/>
                <w:szCs w:val="18"/>
              </w:rPr>
              <w:t>No</w:t>
            </w:r>
          </w:p>
        </w:tc>
        <w:tc>
          <w:tcPr>
            <w:tcW w:w="709" w:type="dxa"/>
          </w:tcPr>
          <w:p w14:paraId="26E517E1" w14:textId="77777777" w:rsidR="005B6C2F" w:rsidRPr="00851177" w:rsidRDefault="005B6C2F" w:rsidP="00136342">
            <w:pPr>
              <w:pStyle w:val="TAL"/>
              <w:jc w:val="center"/>
              <w:rPr>
                <w:sz w:val="16"/>
                <w:szCs w:val="18"/>
              </w:rPr>
            </w:pPr>
            <w:r w:rsidRPr="00851177">
              <w:rPr>
                <w:sz w:val="16"/>
                <w:szCs w:val="18"/>
              </w:rPr>
              <w:t>No</w:t>
            </w:r>
          </w:p>
        </w:tc>
        <w:tc>
          <w:tcPr>
            <w:tcW w:w="709" w:type="dxa"/>
          </w:tcPr>
          <w:p w14:paraId="3DD1DA38" w14:textId="77777777" w:rsidR="005B6C2F" w:rsidRPr="00851177" w:rsidRDefault="005B6C2F" w:rsidP="00136342">
            <w:pPr>
              <w:pStyle w:val="TAL"/>
              <w:jc w:val="center"/>
              <w:rPr>
                <w:sz w:val="16"/>
                <w:szCs w:val="18"/>
              </w:rPr>
            </w:pPr>
            <w:r w:rsidRPr="00851177">
              <w:rPr>
                <w:sz w:val="16"/>
                <w:szCs w:val="18"/>
              </w:rPr>
              <w:t>No</w:t>
            </w:r>
          </w:p>
        </w:tc>
      </w:tr>
    </w:tbl>
    <w:p w14:paraId="77FFC222" w14:textId="262A71CA" w:rsidR="005B6C2F" w:rsidRDefault="005B6C2F" w:rsidP="0093067B">
      <w:pPr>
        <w:spacing w:after="0"/>
        <w:rPr>
          <w:rFonts w:eastAsia="Times New Roman"/>
          <w:sz w:val="22"/>
          <w:szCs w:val="22"/>
          <w:lang w:eastAsia="ko-KR"/>
        </w:rPr>
      </w:pPr>
    </w:p>
    <w:p w14:paraId="455C2C4C" w14:textId="0C2B944E" w:rsidR="00851177" w:rsidRDefault="00851177" w:rsidP="0093067B">
      <w:pPr>
        <w:spacing w:after="0"/>
        <w:rPr>
          <w:rFonts w:eastAsia="Times New Roman"/>
          <w:sz w:val="22"/>
          <w:szCs w:val="22"/>
          <w:lang w:eastAsia="ko-KR"/>
        </w:rPr>
      </w:pPr>
    </w:p>
    <w:p w14:paraId="7EE53C57" w14:textId="3B48C4CD" w:rsidR="007D075A" w:rsidRDefault="007D075A" w:rsidP="0093067B">
      <w:pPr>
        <w:spacing w:after="0"/>
        <w:rPr>
          <w:rFonts w:eastAsia="Times New Roman"/>
          <w:sz w:val="22"/>
          <w:szCs w:val="22"/>
          <w:lang w:eastAsia="ko-KR"/>
        </w:rPr>
      </w:pPr>
    </w:p>
    <w:p w14:paraId="71B2B53A" w14:textId="65AD7743" w:rsidR="007D075A" w:rsidRDefault="007D075A" w:rsidP="0093067B">
      <w:pPr>
        <w:spacing w:after="0"/>
        <w:rPr>
          <w:rFonts w:eastAsia="Times New Roman"/>
          <w:sz w:val="22"/>
          <w:szCs w:val="22"/>
          <w:lang w:eastAsia="ko-KR"/>
        </w:rPr>
      </w:pPr>
    </w:p>
    <w:p w14:paraId="11FDB4D1" w14:textId="38859650" w:rsidR="008F2382" w:rsidRPr="008F2382" w:rsidRDefault="008F2382" w:rsidP="008F2382">
      <w:pPr>
        <w:spacing w:after="0"/>
        <w:rPr>
          <w:rFonts w:eastAsia="Times New Roman"/>
          <w:sz w:val="22"/>
          <w:szCs w:val="22"/>
          <w:lang w:eastAsia="ko-KR"/>
        </w:rPr>
      </w:pPr>
      <w:r>
        <w:rPr>
          <w:rFonts w:eastAsia="Times New Roman"/>
          <w:sz w:val="22"/>
          <w:szCs w:val="22"/>
          <w:lang w:eastAsia="ko-KR"/>
        </w:rPr>
        <w:lastRenderedPageBreak/>
        <w:t xml:space="preserve">The full proposal discussed and agreed in RAN4#97e concerns reporting a separate capability, here tentatively called </w:t>
      </w:r>
      <w:r w:rsidRPr="008F2382">
        <w:rPr>
          <w:rFonts w:eastAsia="Times New Roman"/>
          <w:i/>
          <w:iCs/>
          <w:sz w:val="22"/>
          <w:szCs w:val="22"/>
          <w:lang w:eastAsia="ko-KR"/>
        </w:rPr>
        <w:t>scellDormancy-SwitchingMultiCC-r16</w:t>
      </w:r>
      <w:r>
        <w:rPr>
          <w:rFonts w:eastAsia="Times New Roman"/>
          <w:sz w:val="22"/>
          <w:szCs w:val="22"/>
          <w:lang w:eastAsia="ko-KR"/>
        </w:rPr>
        <w:t xml:space="preserve">, which shall have the same dependency on </w:t>
      </w:r>
      <w:r>
        <w:rPr>
          <w:sz w:val="22"/>
          <w:szCs w:val="22"/>
          <w:lang w:val="en-CA"/>
        </w:rPr>
        <w:t xml:space="preserve">whether the UE has reported </w:t>
      </w:r>
      <w:r w:rsidRPr="00CB79D7">
        <w:rPr>
          <w:i/>
          <w:iCs/>
          <w:sz w:val="22"/>
          <w:szCs w:val="22"/>
          <w:lang w:val="en-CA"/>
        </w:rPr>
        <w:t>bwp-SwitchingDelay</w:t>
      </w:r>
      <w:r>
        <w:rPr>
          <w:sz w:val="22"/>
          <w:szCs w:val="22"/>
          <w:lang w:val="en-CA"/>
        </w:rPr>
        <w:t xml:space="preserve"> Type 1 or Type 2, and same sets of valid values, as for </w:t>
      </w:r>
      <w:r w:rsidRPr="00CB79D7">
        <w:rPr>
          <w:i/>
          <w:iCs/>
          <w:sz w:val="22"/>
          <w:szCs w:val="22"/>
          <w:lang w:val="en-CA"/>
        </w:rPr>
        <w:t>bwp-SwitchingMultiCCs-r16</w:t>
      </w:r>
      <w:r>
        <w:rPr>
          <w:sz w:val="22"/>
          <w:szCs w:val="22"/>
          <w:lang w:val="en-CA"/>
        </w:rPr>
        <w:t>, i.e.</w:t>
      </w:r>
    </w:p>
    <w:p w14:paraId="7DC537E1" w14:textId="697FB668" w:rsidR="008F2382" w:rsidRDefault="008F2382" w:rsidP="0093067B">
      <w:pPr>
        <w:spacing w:after="0"/>
        <w:rPr>
          <w:rFonts w:eastAsia="Times New Roman"/>
          <w:sz w:val="22"/>
          <w:szCs w:val="22"/>
          <w:lang w:val="en-CA" w:eastAsia="ko-KR"/>
        </w:rPr>
      </w:pPr>
    </w:p>
    <w:p w14:paraId="5F42580B" w14:textId="77777777" w:rsidR="008F2382" w:rsidRPr="008F2382" w:rsidRDefault="008F2382" w:rsidP="008F2382">
      <w:pPr>
        <w:spacing w:after="0"/>
        <w:ind w:left="852"/>
        <w:rPr>
          <w:rFonts w:eastAsia="Times New Roman"/>
          <w:i/>
          <w:iCs/>
          <w:color w:val="365F91" w:themeColor="accent1" w:themeShade="BF"/>
          <w:sz w:val="22"/>
          <w:szCs w:val="22"/>
          <w:lang w:eastAsia="ko-KR"/>
        </w:rPr>
      </w:pPr>
      <w:r w:rsidRPr="008F2382">
        <w:rPr>
          <w:rFonts w:eastAsia="Times New Roman"/>
          <w:i/>
          <w:iCs/>
          <w:color w:val="365F91" w:themeColor="accent1" w:themeShade="BF"/>
          <w:sz w:val="22"/>
          <w:szCs w:val="22"/>
          <w:lang w:eastAsia="ko-KR"/>
        </w:rPr>
        <w:t>scellDormancy-SwitchingMultiCC-r16</w:t>
      </w:r>
    </w:p>
    <w:p w14:paraId="0F38937D" w14:textId="77777777" w:rsidR="008F2382" w:rsidRPr="008F2382" w:rsidRDefault="008F2382" w:rsidP="008F2382">
      <w:pPr>
        <w:pStyle w:val="ListParagraph"/>
        <w:numPr>
          <w:ilvl w:val="0"/>
          <w:numId w:val="46"/>
        </w:numPr>
        <w:spacing w:after="0"/>
        <w:ind w:left="1780"/>
        <w:rPr>
          <w:rFonts w:eastAsia="Times New Roman"/>
          <w:color w:val="365F91" w:themeColor="accent1" w:themeShade="BF"/>
          <w:sz w:val="22"/>
          <w:szCs w:val="22"/>
          <w:lang w:eastAsia="ko-KR"/>
        </w:rPr>
      </w:pPr>
      <w:r w:rsidRPr="008F2382">
        <w:rPr>
          <w:rFonts w:eastAsia="Times New Roman"/>
          <w:color w:val="365F91" w:themeColor="accent1" w:themeShade="BF"/>
          <w:sz w:val="22"/>
          <w:szCs w:val="22"/>
          <w:lang w:eastAsia="ko-KR"/>
        </w:rPr>
        <w:t xml:space="preserve">UE supporting </w:t>
      </w:r>
      <w:r w:rsidRPr="008F2382">
        <w:rPr>
          <w:rFonts w:eastAsia="Times New Roman"/>
          <w:i/>
          <w:iCs/>
          <w:color w:val="365F91" w:themeColor="accent1" w:themeShade="BF"/>
          <w:sz w:val="22"/>
          <w:szCs w:val="22"/>
          <w:lang w:eastAsia="ko-KR"/>
        </w:rPr>
        <w:t>bwp-SwitchingDelay</w:t>
      </w:r>
      <w:r w:rsidRPr="008F2382">
        <w:rPr>
          <w:rFonts w:eastAsia="Times New Roman"/>
          <w:color w:val="365F91" w:themeColor="accent1" w:themeShade="BF"/>
          <w:sz w:val="22"/>
          <w:szCs w:val="22"/>
          <w:lang w:eastAsia="ko-KR"/>
        </w:rPr>
        <w:t xml:space="preserve"> Type 1: {100us, 200us}</w:t>
      </w:r>
    </w:p>
    <w:p w14:paraId="087ECEB2" w14:textId="77777777" w:rsidR="008F2382" w:rsidRPr="008F2382" w:rsidRDefault="008F2382" w:rsidP="008F2382">
      <w:pPr>
        <w:pStyle w:val="ListParagraph"/>
        <w:numPr>
          <w:ilvl w:val="0"/>
          <w:numId w:val="46"/>
        </w:numPr>
        <w:spacing w:after="0"/>
        <w:ind w:left="1780"/>
        <w:rPr>
          <w:rFonts w:eastAsia="Times New Roman"/>
          <w:color w:val="365F91" w:themeColor="accent1" w:themeShade="BF"/>
          <w:sz w:val="22"/>
          <w:szCs w:val="22"/>
          <w:lang w:eastAsia="ko-KR"/>
        </w:rPr>
      </w:pPr>
      <w:r w:rsidRPr="008F2382">
        <w:rPr>
          <w:rFonts w:eastAsia="Times New Roman"/>
          <w:color w:val="365F91" w:themeColor="accent1" w:themeShade="BF"/>
          <w:sz w:val="22"/>
          <w:szCs w:val="22"/>
          <w:lang w:eastAsia="ko-KR"/>
        </w:rPr>
        <w:t xml:space="preserve">UE supporting </w:t>
      </w:r>
      <w:r w:rsidRPr="008F2382">
        <w:rPr>
          <w:rFonts w:eastAsia="Times New Roman"/>
          <w:i/>
          <w:iCs/>
          <w:color w:val="365F91" w:themeColor="accent1" w:themeShade="BF"/>
          <w:sz w:val="22"/>
          <w:szCs w:val="22"/>
          <w:lang w:eastAsia="ko-KR"/>
        </w:rPr>
        <w:t>bwp-SwitchingDelay</w:t>
      </w:r>
      <w:r w:rsidRPr="008F2382">
        <w:rPr>
          <w:rFonts w:eastAsia="Times New Roman"/>
          <w:color w:val="365F91" w:themeColor="accent1" w:themeShade="BF"/>
          <w:sz w:val="22"/>
          <w:szCs w:val="22"/>
          <w:lang w:eastAsia="ko-KR"/>
        </w:rPr>
        <w:t xml:space="preserve"> Type 2: {200us, 400us, 800us, 1000us}</w:t>
      </w:r>
    </w:p>
    <w:p w14:paraId="0B1050D2" w14:textId="3E486EE5" w:rsidR="008F2382" w:rsidRDefault="008F2382" w:rsidP="0093067B">
      <w:pPr>
        <w:spacing w:after="0"/>
        <w:rPr>
          <w:rFonts w:eastAsia="Times New Roman"/>
          <w:sz w:val="22"/>
          <w:szCs w:val="22"/>
          <w:lang w:eastAsia="ko-KR"/>
        </w:rPr>
      </w:pPr>
    </w:p>
    <w:p w14:paraId="7BD32213" w14:textId="03E4C4B8" w:rsidR="008F2382" w:rsidRDefault="008F2382" w:rsidP="0093067B">
      <w:pPr>
        <w:spacing w:after="0"/>
        <w:rPr>
          <w:rFonts w:eastAsia="Times New Roman"/>
          <w:sz w:val="22"/>
          <w:szCs w:val="22"/>
          <w:lang w:eastAsia="ko-KR"/>
        </w:rPr>
      </w:pPr>
      <w:r>
        <w:rPr>
          <w:rFonts w:eastAsia="Times New Roman"/>
          <w:sz w:val="22"/>
          <w:szCs w:val="22"/>
          <w:lang w:eastAsia="ko-KR"/>
        </w:rPr>
        <w:t>In the existing specification the various kinds of simultaneous BWP switching, i.e. self-scheduled and cross carrier-scheduled switching</w:t>
      </w:r>
      <w:r w:rsidR="004D66A4">
        <w:rPr>
          <w:rFonts w:eastAsia="Times New Roman"/>
          <w:sz w:val="22"/>
          <w:szCs w:val="22"/>
          <w:lang w:eastAsia="ko-KR"/>
        </w:rPr>
        <w:t>s</w:t>
      </w:r>
      <w:r>
        <w:rPr>
          <w:rFonts w:eastAsia="Times New Roman"/>
          <w:sz w:val="22"/>
          <w:szCs w:val="22"/>
          <w:lang w:eastAsia="ko-KR"/>
        </w:rPr>
        <w:t xml:space="preserve"> between non-dormant BWPs, and </w:t>
      </w:r>
      <w:r w:rsidR="004D66A4">
        <w:rPr>
          <w:rFonts w:eastAsia="Times New Roman"/>
          <w:sz w:val="22"/>
          <w:szCs w:val="22"/>
          <w:lang w:eastAsia="ko-KR"/>
        </w:rPr>
        <w:t xml:space="preserve">cross carrier-scheduled switching between non-dormant and dormant BWPs (dormancy switching) are all based on the fundamental parameter </w:t>
      </w:r>
      <w:r>
        <w:rPr>
          <w:rFonts w:eastAsia="Times New Roman"/>
          <w:sz w:val="22"/>
          <w:szCs w:val="22"/>
          <w:lang w:eastAsia="ko-KR"/>
        </w:rPr>
        <w:t xml:space="preserve">  </w:t>
      </w:r>
    </w:p>
    <w:p w14:paraId="14789FB2" w14:textId="77777777" w:rsidR="004D66A4" w:rsidRDefault="004D66A4" w:rsidP="004D66A4">
      <w:pPr>
        <w:rPr>
          <w:rFonts w:eastAsia="Times New Roman"/>
          <w:noProof/>
          <w:sz w:val="22"/>
          <w:szCs w:val="22"/>
        </w:rPr>
      </w:pPr>
      <w:r w:rsidRPr="00854C16">
        <w:rPr>
          <w:rFonts w:eastAsia="Times New Roman"/>
          <w:noProof/>
          <w:sz w:val="22"/>
          <w:szCs w:val="22"/>
        </w:rPr>
        <w:t>T</w:t>
      </w:r>
      <w:r w:rsidRPr="00854C16">
        <w:rPr>
          <w:rFonts w:eastAsia="Times New Roman"/>
          <w:noProof/>
          <w:sz w:val="22"/>
          <w:szCs w:val="22"/>
          <w:vertAlign w:val="subscript"/>
        </w:rPr>
        <w:t>MultipleBWPswitchDelay</w:t>
      </w:r>
      <w:r>
        <w:rPr>
          <w:rFonts w:eastAsia="Times New Roman"/>
          <w:noProof/>
          <w:sz w:val="22"/>
          <w:szCs w:val="22"/>
        </w:rPr>
        <w:t>, which is described as follows:</w:t>
      </w:r>
    </w:p>
    <w:p w14:paraId="1987CC3D" w14:textId="71BDAF5F" w:rsidR="007D075A" w:rsidRPr="00C804C6" w:rsidRDefault="004D66A4" w:rsidP="00C804C6">
      <w:pPr>
        <w:ind w:left="568"/>
        <w:rPr>
          <w:rFonts w:eastAsia="Times New Roman"/>
          <w:noProof/>
          <w:color w:val="365F91" w:themeColor="accent1" w:themeShade="BF"/>
          <w:lang w:eastAsia="zh-CN"/>
        </w:rPr>
      </w:pPr>
      <w:r w:rsidRPr="00854C16">
        <w:rPr>
          <w:rFonts w:eastAsia="Times New Roman"/>
          <w:noProof/>
          <w:color w:val="365F91" w:themeColor="accent1" w:themeShade="BF"/>
        </w:rPr>
        <w:t>T</w:t>
      </w:r>
      <w:r w:rsidRPr="00854C16">
        <w:rPr>
          <w:rFonts w:eastAsia="Times New Roman"/>
          <w:noProof/>
          <w:color w:val="365F91" w:themeColor="accent1" w:themeShade="BF"/>
          <w:vertAlign w:val="subscript"/>
        </w:rPr>
        <w:t>MultipleBWPswitchDelay</w:t>
      </w:r>
      <w:r w:rsidRPr="00854C16">
        <w:rPr>
          <w:rFonts w:eastAsia="Times New Roman"/>
          <w:noProof/>
          <w:color w:val="365F91" w:themeColor="accent1" w:themeShade="BF"/>
        </w:rPr>
        <w:t xml:space="preserve"> = </w:t>
      </w:r>
      <w:r w:rsidRPr="00854C16">
        <w:rPr>
          <w:rFonts w:eastAsia="Times New Roman"/>
          <w:noProof/>
          <w:color w:val="365F91" w:themeColor="accent1" w:themeShade="BF"/>
          <w:lang w:eastAsia="zh-CN"/>
        </w:rPr>
        <w:t>T</w:t>
      </w:r>
      <w:r w:rsidRPr="00854C16">
        <w:rPr>
          <w:rFonts w:eastAsia="Times New Roman"/>
          <w:noProof/>
          <w:color w:val="365F91" w:themeColor="accent1" w:themeShade="BF"/>
          <w:vertAlign w:val="subscript"/>
          <w:lang w:eastAsia="zh-CN"/>
        </w:rPr>
        <w:t>BWPswitchDelay</w:t>
      </w:r>
      <w:r w:rsidRPr="00854C16">
        <w:rPr>
          <w:rFonts w:eastAsia="Times New Roman"/>
          <w:noProof/>
          <w:color w:val="365F91" w:themeColor="accent1" w:themeShade="BF"/>
          <w:lang w:eastAsia="zh-CN"/>
        </w:rPr>
        <w:t xml:space="preserve"> + D*(N-1)</w:t>
      </w:r>
    </w:p>
    <w:p w14:paraId="59F07F2C" w14:textId="3E06A907" w:rsidR="004D66A4" w:rsidRDefault="004D66A4" w:rsidP="004D66A4">
      <w:pPr>
        <w:rPr>
          <w:rFonts w:eastAsia="Times New Roman"/>
          <w:sz w:val="22"/>
          <w:szCs w:val="22"/>
          <w:lang w:eastAsia="ko-KR"/>
        </w:rPr>
      </w:pPr>
      <w:r>
        <w:rPr>
          <w:rFonts w:eastAsia="Times New Roman"/>
          <w:sz w:val="22"/>
          <w:szCs w:val="22"/>
          <w:lang w:eastAsia="ko-KR"/>
        </w:rPr>
        <w:t>where N is the number of carriers to account for in the simultaneous switching, and D is specified as:</w:t>
      </w:r>
    </w:p>
    <w:p w14:paraId="5789FC38" w14:textId="4188BF17" w:rsidR="004D66A4" w:rsidRPr="00C804C6" w:rsidRDefault="004D66A4" w:rsidP="00C804C6">
      <w:pPr>
        <w:ind w:left="568"/>
        <w:rPr>
          <w:rFonts w:eastAsia="Times New Roman"/>
          <w:color w:val="365F91" w:themeColor="accent1" w:themeShade="BF"/>
          <w:lang w:val="en-US" w:eastAsia="zh-CN"/>
        </w:rPr>
      </w:pPr>
      <w:r w:rsidRPr="00854C16">
        <w:rPr>
          <w:rFonts w:eastAsia="Times New Roman"/>
          <w:color w:val="365F91" w:themeColor="accent1" w:themeShade="BF"/>
          <w:lang w:val="en-US" w:eastAsia="zh-CN"/>
        </w:rPr>
        <w:t xml:space="preserve">D is the incremental delay for each additional CC involved in simultaneous BWP switch and depends on UE capability </w:t>
      </w:r>
      <w:r w:rsidRPr="00854C16">
        <w:rPr>
          <w:rFonts w:eastAsia="Times New Roman"/>
          <w:i/>
          <w:color w:val="365F91" w:themeColor="accent1" w:themeShade="BF"/>
          <w:lang w:val="en-US" w:eastAsia="zh-CN"/>
        </w:rPr>
        <w:t>bwp-SwitchingMultiCCs-r16</w:t>
      </w:r>
      <w:r w:rsidRPr="00854C16">
        <w:rPr>
          <w:rFonts w:eastAsia="Times New Roman"/>
          <w:color w:val="365F91" w:themeColor="accent1" w:themeShade="BF"/>
          <w:lang w:val="en-US" w:eastAsia="zh-CN"/>
        </w:rPr>
        <w:t xml:space="preserve"> [13]</w:t>
      </w:r>
    </w:p>
    <w:p w14:paraId="54D92281" w14:textId="47B09372" w:rsidR="00854C16" w:rsidRDefault="004D66A4" w:rsidP="0093067B">
      <w:pPr>
        <w:spacing w:after="0"/>
        <w:rPr>
          <w:rFonts w:eastAsia="Times New Roman"/>
          <w:sz w:val="22"/>
          <w:szCs w:val="22"/>
          <w:lang w:eastAsia="ko-KR"/>
        </w:rPr>
      </w:pPr>
      <w:r>
        <w:rPr>
          <w:rFonts w:eastAsia="Times New Roman"/>
          <w:sz w:val="22"/>
          <w:szCs w:val="22"/>
          <w:lang w:eastAsia="ko-KR"/>
        </w:rPr>
        <w:t xml:space="preserve">The current description of D does not take into account that different values of D may be applicable for switching between non-dormant BWPs, and dormant and non-dormant BWPs, respectively. Hence we propose to </w:t>
      </w:r>
      <w:r w:rsidR="001B1F96">
        <w:rPr>
          <w:rFonts w:eastAsia="Times New Roman"/>
          <w:sz w:val="22"/>
          <w:szCs w:val="22"/>
          <w:lang w:eastAsia="ko-KR"/>
        </w:rPr>
        <w:t>update TS 38.133 clause 8.6.2A.1</w:t>
      </w:r>
      <w:r>
        <w:rPr>
          <w:rFonts w:eastAsia="Times New Roman"/>
          <w:sz w:val="22"/>
          <w:szCs w:val="22"/>
          <w:lang w:eastAsia="ko-KR"/>
        </w:rPr>
        <w:t xml:space="preserve"> as follows (</w:t>
      </w:r>
      <w:r w:rsidRPr="004D66A4">
        <w:rPr>
          <w:rFonts w:eastAsia="Times New Roman"/>
          <w:sz w:val="22"/>
          <w:szCs w:val="22"/>
          <w:shd w:val="clear" w:color="auto" w:fill="D6E3BC" w:themeFill="accent3" w:themeFillTint="66"/>
          <w:lang w:eastAsia="ko-KR"/>
        </w:rPr>
        <w:t>highlighted</w:t>
      </w:r>
      <w:r>
        <w:rPr>
          <w:rFonts w:eastAsia="Times New Roman"/>
          <w:sz w:val="22"/>
          <w:szCs w:val="22"/>
          <w:lang w:eastAsia="ko-KR"/>
        </w:rPr>
        <w:t>)</w:t>
      </w:r>
      <w:r w:rsidR="001B1F96">
        <w:rPr>
          <w:rFonts w:eastAsia="Times New Roman"/>
          <w:sz w:val="22"/>
          <w:szCs w:val="22"/>
          <w:lang w:eastAsia="ko-KR"/>
        </w:rPr>
        <w:t>:</w:t>
      </w:r>
    </w:p>
    <w:p w14:paraId="71E09A02" w14:textId="77777777" w:rsidR="004D66A4" w:rsidRDefault="004D66A4" w:rsidP="0093067B">
      <w:pPr>
        <w:spacing w:after="0"/>
        <w:rPr>
          <w:rFonts w:eastAsia="Times New Roman"/>
          <w:sz w:val="22"/>
          <w:szCs w:val="22"/>
          <w:lang w:eastAsia="ko-KR"/>
        </w:rPr>
      </w:pPr>
    </w:p>
    <w:p w14:paraId="0B4D0482" w14:textId="37ECB94D" w:rsidR="00854C16" w:rsidRDefault="00854C16" w:rsidP="00854C16">
      <w:pPr>
        <w:spacing w:after="0"/>
        <w:jc w:val="center"/>
        <w:rPr>
          <w:rFonts w:eastAsia="Times New Roman"/>
          <w:sz w:val="22"/>
          <w:szCs w:val="22"/>
          <w:lang w:eastAsia="ko-KR"/>
        </w:rPr>
      </w:pPr>
      <w:r>
        <w:rPr>
          <w:rFonts w:eastAsia="Times New Roman"/>
          <w:sz w:val="22"/>
          <w:szCs w:val="22"/>
          <w:lang w:eastAsia="ko-KR"/>
        </w:rPr>
        <w:t>* * *</w:t>
      </w:r>
    </w:p>
    <w:p w14:paraId="5A2D17DB" w14:textId="2CBAB9F5" w:rsidR="003E4A16" w:rsidRPr="00854C16" w:rsidRDefault="00854C16" w:rsidP="00854C16">
      <w:pPr>
        <w:pStyle w:val="Heading4"/>
        <w:numPr>
          <w:ilvl w:val="0"/>
          <w:numId w:val="0"/>
        </w:numPr>
        <w:spacing w:after="0"/>
        <w:ind w:left="568"/>
        <w:rPr>
          <w:sz w:val="20"/>
          <w:szCs w:val="16"/>
          <w:lang w:val="en-US" w:eastAsia="zh-CN"/>
        </w:rPr>
      </w:pPr>
      <w:r w:rsidRPr="00854C16">
        <w:rPr>
          <w:sz w:val="20"/>
          <w:szCs w:val="16"/>
          <w:lang w:val="en-US" w:eastAsia="zh-CN"/>
        </w:rPr>
        <w:t>8.6.2A.1</w:t>
      </w:r>
      <w:r w:rsidRPr="00854C16">
        <w:rPr>
          <w:sz w:val="20"/>
          <w:szCs w:val="16"/>
          <w:lang w:val="en-US" w:eastAsia="zh-CN"/>
        </w:rPr>
        <w:tab/>
        <w:t>Simultaneous DCI based BWP switch delay on multiple CCs</w:t>
      </w:r>
    </w:p>
    <w:p w14:paraId="0034B9C7" w14:textId="61BF7B87" w:rsidR="00854C16" w:rsidRDefault="00854C16" w:rsidP="00854C16">
      <w:pPr>
        <w:spacing w:after="0"/>
        <w:ind w:left="568"/>
        <w:rPr>
          <w:rFonts w:eastAsia="Times New Roman"/>
          <w:sz w:val="18"/>
          <w:szCs w:val="18"/>
          <w:lang w:val="en-US" w:eastAsia="zh-CN"/>
        </w:rPr>
      </w:pPr>
      <w:r>
        <w:rPr>
          <w:rFonts w:eastAsia="Times New Roman"/>
          <w:sz w:val="18"/>
          <w:szCs w:val="18"/>
          <w:lang w:val="en-US" w:eastAsia="zh-CN"/>
        </w:rPr>
        <w:t>[...]</w:t>
      </w:r>
    </w:p>
    <w:p w14:paraId="6E2FB51F" w14:textId="6BE30B48" w:rsidR="00854C16" w:rsidRPr="00854C16" w:rsidRDefault="00854C16" w:rsidP="00854C16">
      <w:pPr>
        <w:ind w:left="568"/>
        <w:rPr>
          <w:rFonts w:eastAsia="Times New Roman"/>
          <w:sz w:val="18"/>
          <w:szCs w:val="18"/>
        </w:rPr>
      </w:pPr>
      <w:r w:rsidRPr="00854C16">
        <w:rPr>
          <w:rFonts w:eastAsia="Times New Roman"/>
          <w:sz w:val="18"/>
          <w:szCs w:val="18"/>
          <w:lang w:val="en-US" w:eastAsia="zh-CN"/>
        </w:rPr>
        <w:t xml:space="preserve">UE shall finish BWP switch within the time duration </w:t>
      </w:r>
      <w:r w:rsidRPr="00854C16">
        <w:rPr>
          <w:rFonts w:eastAsia="Times New Roman"/>
          <w:sz w:val="18"/>
          <w:szCs w:val="18"/>
        </w:rPr>
        <w:t>T</w:t>
      </w:r>
      <w:r w:rsidRPr="00854C16">
        <w:rPr>
          <w:rFonts w:eastAsia="Times New Roman"/>
          <w:sz w:val="18"/>
          <w:szCs w:val="18"/>
          <w:vertAlign w:val="subscript"/>
        </w:rPr>
        <w:t xml:space="preserve">MultipleBWPswitchDelay </w:t>
      </w:r>
      <w:r w:rsidRPr="00854C16">
        <w:rPr>
          <w:rFonts w:eastAsia="Times New Roman"/>
          <w:sz w:val="18"/>
          <w:szCs w:val="18"/>
          <w:vertAlign w:val="subscript"/>
        </w:rPr>
        <w:softHyphen/>
      </w:r>
      <w:r w:rsidRPr="00854C16">
        <w:rPr>
          <w:rFonts w:eastAsia="Times New Roman"/>
          <w:sz w:val="18"/>
          <w:szCs w:val="18"/>
        </w:rPr>
        <w:t>if the serving cell where UE receives DCI for BWP switch is same as the serving cell on which BWP switch occurs for each involved serving cell</w:t>
      </w:r>
      <w:r w:rsidRPr="00854C16">
        <w:rPr>
          <w:rFonts w:eastAsia="Times New Roman"/>
          <w:sz w:val="18"/>
          <w:szCs w:val="18"/>
          <w:vertAlign w:val="subscript"/>
        </w:rPr>
        <w:t>,</w:t>
      </w:r>
      <w:r w:rsidRPr="00854C16">
        <w:rPr>
          <w:rFonts w:eastAsia="Times New Roman"/>
          <w:sz w:val="18"/>
          <w:szCs w:val="18"/>
        </w:rPr>
        <w:t xml:space="preserve"> which is defined as:</w:t>
      </w:r>
    </w:p>
    <w:p w14:paraId="37445FCC" w14:textId="77777777" w:rsidR="00854C16" w:rsidRPr="00854C16" w:rsidRDefault="00854C16" w:rsidP="00854C16">
      <w:pPr>
        <w:keepLines/>
        <w:tabs>
          <w:tab w:val="center" w:pos="4536"/>
          <w:tab w:val="right" w:pos="9072"/>
        </w:tabs>
        <w:ind w:left="568"/>
        <w:rPr>
          <w:rFonts w:eastAsia="Times New Roman"/>
          <w:noProof/>
          <w:sz w:val="18"/>
          <w:szCs w:val="18"/>
        </w:rPr>
      </w:pPr>
      <w:r w:rsidRPr="00854C16">
        <w:rPr>
          <w:rFonts w:eastAsia="Times New Roman"/>
          <w:noProof/>
          <w:sz w:val="18"/>
          <w:szCs w:val="18"/>
        </w:rPr>
        <w:tab/>
        <w:t>T</w:t>
      </w:r>
      <w:r w:rsidRPr="00854C16">
        <w:rPr>
          <w:rFonts w:eastAsia="Times New Roman"/>
          <w:noProof/>
          <w:sz w:val="18"/>
          <w:szCs w:val="18"/>
          <w:vertAlign w:val="subscript"/>
        </w:rPr>
        <w:t>MultipleBWPswitchDelay</w:t>
      </w:r>
      <w:r w:rsidRPr="00854C16">
        <w:rPr>
          <w:rFonts w:eastAsia="Times New Roman"/>
          <w:noProof/>
          <w:sz w:val="18"/>
          <w:szCs w:val="18"/>
        </w:rPr>
        <w:t xml:space="preserve"> = </w:t>
      </w:r>
      <w:r w:rsidRPr="00854C16">
        <w:rPr>
          <w:rFonts w:eastAsia="Times New Roman"/>
          <w:noProof/>
          <w:sz w:val="18"/>
          <w:szCs w:val="18"/>
          <w:lang w:eastAsia="zh-CN"/>
        </w:rPr>
        <w:t>T</w:t>
      </w:r>
      <w:r w:rsidRPr="00854C16">
        <w:rPr>
          <w:rFonts w:eastAsia="Times New Roman"/>
          <w:noProof/>
          <w:sz w:val="18"/>
          <w:szCs w:val="18"/>
          <w:vertAlign w:val="subscript"/>
          <w:lang w:eastAsia="zh-CN"/>
        </w:rPr>
        <w:t>BWPswitchDelay</w:t>
      </w:r>
      <w:r w:rsidRPr="00854C16">
        <w:rPr>
          <w:rFonts w:eastAsia="Times New Roman"/>
          <w:noProof/>
          <w:sz w:val="18"/>
          <w:szCs w:val="18"/>
          <w:lang w:eastAsia="zh-CN"/>
        </w:rPr>
        <w:t xml:space="preserve"> + D*(N-1) </w:t>
      </w:r>
    </w:p>
    <w:p w14:paraId="551BE090" w14:textId="77777777" w:rsidR="00854C16" w:rsidRPr="00854C16" w:rsidRDefault="00854C16" w:rsidP="00854C16">
      <w:pPr>
        <w:ind w:left="568"/>
        <w:rPr>
          <w:rFonts w:eastAsia="Times New Roman"/>
          <w:sz w:val="18"/>
          <w:szCs w:val="18"/>
          <w:lang w:val="en-US" w:eastAsia="zh-CN"/>
        </w:rPr>
      </w:pPr>
      <w:r w:rsidRPr="00854C16">
        <w:rPr>
          <w:rFonts w:eastAsia="Times New Roman"/>
          <w:sz w:val="18"/>
          <w:szCs w:val="18"/>
          <w:lang w:val="en-US" w:eastAsia="zh-CN"/>
        </w:rPr>
        <w:t>Where:</w:t>
      </w:r>
    </w:p>
    <w:p w14:paraId="2982CAC8" w14:textId="77777777" w:rsidR="00854C16" w:rsidRPr="00854C16" w:rsidRDefault="00854C16" w:rsidP="00854C16">
      <w:pPr>
        <w:ind w:left="1136" w:hanging="284"/>
        <w:rPr>
          <w:rFonts w:eastAsia="Times New Roman"/>
          <w:sz w:val="18"/>
          <w:szCs w:val="18"/>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t>T</w:t>
      </w:r>
      <w:r w:rsidRPr="00854C16">
        <w:rPr>
          <w:rFonts w:eastAsia="Times New Roman"/>
          <w:sz w:val="18"/>
          <w:szCs w:val="18"/>
          <w:vertAlign w:val="subscript"/>
          <w:lang w:val="en-US" w:eastAsia="zh-CN"/>
        </w:rPr>
        <w:t>BWPswitchDelay</w:t>
      </w:r>
      <w:r w:rsidRPr="00854C16">
        <w:rPr>
          <w:rFonts w:eastAsia="Times New Roman"/>
          <w:sz w:val="18"/>
          <w:szCs w:val="18"/>
          <w:lang w:val="en-US" w:eastAsia="zh-CN"/>
        </w:rPr>
        <w:t xml:space="preserve"> is the BWP switching delay on single CC defined in Table 8.6.2-1 depending on UE capability </w:t>
      </w:r>
      <w:r w:rsidRPr="00854C16">
        <w:rPr>
          <w:rFonts w:eastAsia="Times New Roman"/>
          <w:i/>
          <w:sz w:val="18"/>
          <w:szCs w:val="18"/>
          <w:lang w:val="en-US" w:eastAsia="zh-CN"/>
        </w:rPr>
        <w:t>bwp-SwitchingDelay</w:t>
      </w:r>
      <w:r w:rsidRPr="00854C16">
        <w:rPr>
          <w:rFonts w:eastAsia="Times New Roman"/>
          <w:sz w:val="18"/>
          <w:szCs w:val="18"/>
          <w:lang w:val="en-US" w:eastAsia="zh-CN"/>
        </w:rPr>
        <w:t xml:space="preserve"> [2]. </w:t>
      </w:r>
      <w:r w:rsidRPr="00854C16">
        <w:rPr>
          <w:rFonts w:eastAsia="Times New Roman"/>
          <w:sz w:val="18"/>
          <w:szCs w:val="18"/>
          <w:lang w:eastAsia="zh-CN"/>
        </w:rPr>
        <w:t>T</w:t>
      </w:r>
      <w:r w:rsidRPr="00854C16">
        <w:rPr>
          <w:rFonts w:eastAsia="Times New Roman"/>
          <w:sz w:val="18"/>
          <w:szCs w:val="18"/>
          <w:vertAlign w:val="subscript"/>
          <w:lang w:eastAsia="zh-CN"/>
        </w:rPr>
        <w:t>BWPswitchDelay</w:t>
      </w:r>
      <w:r w:rsidRPr="00854C16">
        <w:rPr>
          <w:rFonts w:eastAsia="Times New Roman"/>
          <w:sz w:val="18"/>
          <w:szCs w:val="18"/>
          <w:lang w:eastAsia="zh-CN"/>
        </w:rPr>
        <w:t xml:space="preserve"> shall be based on the smallest SCS among SCS of all involved CCs before and after BWP switch. If the BWP switch on multiple CCs results in the change of the SCS on any CC among involved CCs, T</w:t>
      </w:r>
      <w:r w:rsidRPr="00854C16">
        <w:rPr>
          <w:rFonts w:eastAsia="Times New Roman"/>
          <w:sz w:val="18"/>
          <w:szCs w:val="18"/>
          <w:vertAlign w:val="subscript"/>
          <w:lang w:eastAsia="zh-CN"/>
        </w:rPr>
        <w:t>BWPswitchDelay</w:t>
      </w:r>
      <w:r w:rsidRPr="00854C16">
        <w:rPr>
          <w:rFonts w:eastAsia="Times New Roman"/>
          <w:sz w:val="18"/>
          <w:szCs w:val="18"/>
          <w:lang w:eastAsia="zh-CN"/>
        </w:rPr>
        <w:t xml:space="preserve"> should be based on the smallest SCS among all SCS values of all involved CCs. </w:t>
      </w:r>
    </w:p>
    <w:p w14:paraId="19AA25AA" w14:textId="77777777" w:rsidR="00854C16" w:rsidRPr="00854C16" w:rsidRDefault="00854C16" w:rsidP="00854C16">
      <w:pPr>
        <w:ind w:left="1136" w:hanging="284"/>
        <w:rPr>
          <w:rFonts w:eastAsia="Times New Roman"/>
          <w:sz w:val="22"/>
          <w:szCs w:val="22"/>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t xml:space="preserve">D is the incremental delay for each additional CC involved in simultaneous BWP switch and depends on UE capability </w:t>
      </w:r>
      <w:r w:rsidRPr="00854C16">
        <w:rPr>
          <w:rFonts w:eastAsia="Times New Roman"/>
          <w:i/>
          <w:sz w:val="18"/>
          <w:szCs w:val="18"/>
          <w:lang w:val="en-US" w:eastAsia="zh-CN"/>
        </w:rPr>
        <w:t>bwp-SwitchingMultiCCs-r16</w:t>
      </w:r>
      <w:r w:rsidRPr="00854C16">
        <w:rPr>
          <w:rFonts w:eastAsia="Times New Roman"/>
          <w:sz w:val="18"/>
          <w:szCs w:val="18"/>
          <w:lang w:val="en-US" w:eastAsia="zh-CN"/>
        </w:rPr>
        <w:t xml:space="preserve"> [13] </w:t>
      </w:r>
      <w:r w:rsidRPr="00854C16">
        <w:rPr>
          <w:rFonts w:eastAsia="Times New Roman"/>
          <w:sz w:val="18"/>
          <w:szCs w:val="18"/>
          <w:shd w:val="clear" w:color="auto" w:fill="D6E3BC" w:themeFill="accent3" w:themeFillTint="66"/>
          <w:lang w:val="en-US" w:eastAsia="zh-CN"/>
        </w:rPr>
        <w:t xml:space="preserve">for switching between non-dormant BWPs, and </w:t>
      </w:r>
      <w:r w:rsidRPr="00854C16">
        <w:rPr>
          <w:rFonts w:eastAsia="Times New Roman"/>
          <w:i/>
          <w:iCs/>
          <w:sz w:val="18"/>
          <w:szCs w:val="18"/>
          <w:shd w:val="clear" w:color="auto" w:fill="D6E3BC" w:themeFill="accent3" w:themeFillTint="66"/>
          <w:lang w:val="en-US" w:eastAsia="zh-CN"/>
        </w:rPr>
        <w:t>[scellDormancy-SwitchingMultiCCs-r16]</w:t>
      </w:r>
      <w:r w:rsidRPr="00854C16">
        <w:rPr>
          <w:rFonts w:eastAsia="Times New Roman"/>
          <w:sz w:val="18"/>
          <w:szCs w:val="18"/>
          <w:shd w:val="clear" w:color="auto" w:fill="D6E3BC" w:themeFill="accent3" w:themeFillTint="66"/>
          <w:lang w:val="en-US" w:eastAsia="zh-CN"/>
        </w:rPr>
        <w:t xml:space="preserve"> for switching between non-dormant and dormant BWPs.</w:t>
      </w:r>
    </w:p>
    <w:p w14:paraId="2F73976B" w14:textId="77777777" w:rsidR="00854C16" w:rsidRPr="00854C16" w:rsidRDefault="00854C16" w:rsidP="00854C16">
      <w:pPr>
        <w:ind w:left="1136" w:hanging="284"/>
        <w:rPr>
          <w:rFonts w:eastAsia="Times New Roman"/>
          <w:sz w:val="18"/>
          <w:szCs w:val="18"/>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r>
      <w:r w:rsidRPr="00854C16">
        <w:rPr>
          <w:rFonts w:eastAsia="Times New Roman"/>
          <w:sz w:val="18"/>
          <w:szCs w:val="18"/>
        </w:rPr>
        <w:t>For UE which is capable of per-FR gap, and no BWP switch involves SCS change, N is the number of CCs in same FR; For UE which is not capable of per-FR gap,</w:t>
      </w:r>
      <w:r w:rsidRPr="00854C16">
        <w:rPr>
          <w:rFonts w:eastAsia="Times New Roman"/>
          <w:sz w:val="18"/>
          <w:szCs w:val="18"/>
          <w:lang w:eastAsia="zh-CN"/>
        </w:rPr>
        <w:t xml:space="preserve"> or the BWP switches on any CC involves SCS changing,</w:t>
      </w:r>
      <w:r w:rsidRPr="00854C16">
        <w:rPr>
          <w:rFonts w:eastAsia="Times New Roman"/>
          <w:sz w:val="18"/>
          <w:szCs w:val="18"/>
          <w:lang w:val="en-US" w:eastAsia="zh-CN"/>
        </w:rPr>
        <w:t xml:space="preserve"> N is the number of CCs undergoing simultaneous BWP switch.</w:t>
      </w:r>
    </w:p>
    <w:p w14:paraId="0084A13E" w14:textId="09F2CDC7" w:rsidR="00854C16" w:rsidRDefault="00854C16" w:rsidP="00854C16">
      <w:pPr>
        <w:spacing w:after="0"/>
        <w:ind w:left="568"/>
        <w:rPr>
          <w:rFonts w:eastAsia="Times New Roman"/>
          <w:sz w:val="18"/>
          <w:szCs w:val="18"/>
        </w:rPr>
      </w:pPr>
      <w:r w:rsidRPr="00854C16">
        <w:rPr>
          <w:rFonts w:eastAsia="Times New Roman"/>
          <w:sz w:val="18"/>
          <w:szCs w:val="18"/>
          <w:lang w:val="en-US" w:eastAsia="zh-CN"/>
        </w:rPr>
        <w:t xml:space="preserve">UE shall finish BWP switch within the time duration </w:t>
      </w:r>
      <w:r w:rsidRPr="00854C16">
        <w:rPr>
          <w:rFonts w:eastAsia="Times New Roman"/>
          <w:sz w:val="18"/>
          <w:szCs w:val="18"/>
        </w:rPr>
        <w:t>T</w:t>
      </w:r>
      <w:r w:rsidRPr="00854C16">
        <w:rPr>
          <w:rFonts w:eastAsia="Times New Roman"/>
          <w:sz w:val="18"/>
          <w:szCs w:val="18"/>
          <w:vertAlign w:val="subscript"/>
        </w:rPr>
        <w:t xml:space="preserve">MultipleBWPswitchDelay </w:t>
      </w:r>
      <w:r w:rsidRPr="00854C16">
        <w:rPr>
          <w:rFonts w:eastAsia="Times New Roman" w:hint="eastAsia"/>
          <w:sz w:val="18"/>
          <w:szCs w:val="18"/>
          <w:lang w:eastAsia="zh-CN"/>
        </w:rPr>
        <w:t>+</w:t>
      </w:r>
      <w:r w:rsidRPr="00854C16">
        <w:rPr>
          <w:rFonts w:eastAsia="Times New Roman"/>
          <w:sz w:val="18"/>
          <w:szCs w:val="18"/>
        </w:rPr>
        <w:t xml:space="preserve"> </w:t>
      </w:r>
      <w:r w:rsidRPr="00854C16">
        <w:rPr>
          <w:rFonts w:eastAsia="Times New Roman" w:hint="eastAsia"/>
          <w:sz w:val="18"/>
          <w:szCs w:val="18"/>
          <w:lang w:eastAsia="zh-CN"/>
        </w:rPr>
        <w:t>Y</w:t>
      </w:r>
      <w:r w:rsidRPr="00854C16">
        <w:rPr>
          <w:rFonts w:eastAsia="Times New Roman"/>
          <w:sz w:val="18"/>
          <w:szCs w:val="18"/>
        </w:rPr>
        <w:t xml:space="preserve"> </w:t>
      </w:r>
      <w:r w:rsidRPr="00854C16">
        <w:rPr>
          <w:rFonts w:eastAsia="Times New Roman"/>
          <w:sz w:val="18"/>
          <w:szCs w:val="18"/>
          <w:vertAlign w:val="subscript"/>
        </w:rPr>
        <w:softHyphen/>
      </w:r>
      <w:r w:rsidRPr="00854C16">
        <w:rPr>
          <w:rFonts w:eastAsia="Times New Roman"/>
          <w:sz w:val="18"/>
          <w:szCs w:val="18"/>
        </w:rPr>
        <w:t>if the serving cell where UE receives DCI for BWP switch is different from the serving cell on which BWP switch occurs for any involved serving cell</w:t>
      </w:r>
      <w:r w:rsidRPr="00854C16">
        <w:rPr>
          <w:rFonts w:eastAsia="Times New Roman"/>
          <w:sz w:val="18"/>
          <w:szCs w:val="18"/>
          <w:vertAlign w:val="subscript"/>
        </w:rPr>
        <w:t>,</w:t>
      </w:r>
      <w:r w:rsidRPr="00854C16">
        <w:rPr>
          <w:rFonts w:eastAsia="Times New Roman"/>
          <w:sz w:val="18"/>
          <w:szCs w:val="18"/>
        </w:rPr>
        <w:t xml:space="preserve"> where Y equals to the length of one slot at smaller SCS of scheduling cell, scheduled cells before and scheduled cells after active BWP change.</w:t>
      </w:r>
    </w:p>
    <w:p w14:paraId="42CCF5B4" w14:textId="0F8D8662" w:rsidR="00854C16" w:rsidRDefault="00854C16" w:rsidP="00854C16">
      <w:pPr>
        <w:ind w:left="568"/>
        <w:rPr>
          <w:rFonts w:eastAsia="Times New Roman"/>
          <w:sz w:val="18"/>
          <w:szCs w:val="18"/>
        </w:rPr>
      </w:pPr>
      <w:r>
        <w:rPr>
          <w:rFonts w:eastAsia="Times New Roman"/>
          <w:sz w:val="18"/>
          <w:szCs w:val="18"/>
        </w:rPr>
        <w:t>[...]</w:t>
      </w:r>
    </w:p>
    <w:p w14:paraId="4369150C" w14:textId="4759DE40" w:rsidR="00854C16" w:rsidRPr="00854C16" w:rsidRDefault="00854C16" w:rsidP="00854C16">
      <w:pPr>
        <w:jc w:val="center"/>
        <w:rPr>
          <w:rFonts w:eastAsia="Times New Roman"/>
          <w:sz w:val="22"/>
          <w:szCs w:val="22"/>
        </w:rPr>
      </w:pPr>
      <w:r w:rsidRPr="00854C16">
        <w:rPr>
          <w:rFonts w:eastAsia="Times New Roman"/>
          <w:sz w:val="22"/>
          <w:szCs w:val="22"/>
        </w:rPr>
        <w:t>* * *</w:t>
      </w:r>
    </w:p>
    <w:p w14:paraId="070C13F7" w14:textId="27BC5A20" w:rsidR="003E4A16" w:rsidRPr="00E167B9" w:rsidRDefault="00E167B9" w:rsidP="00E167B9">
      <w:pPr>
        <w:spacing w:after="0"/>
        <w:ind w:left="1134" w:hanging="1134"/>
        <w:rPr>
          <w:rFonts w:eastAsia="Times New Roman"/>
          <w:color w:val="365F91" w:themeColor="accent1" w:themeShade="BF"/>
          <w:sz w:val="22"/>
          <w:szCs w:val="22"/>
          <w:lang w:eastAsia="ko-KR"/>
        </w:rPr>
      </w:pPr>
      <w:r w:rsidRPr="00E167B9">
        <w:rPr>
          <w:rFonts w:eastAsia="Times New Roman"/>
          <w:b/>
          <w:bCs/>
          <w:color w:val="365F91" w:themeColor="accent1" w:themeShade="BF"/>
          <w:sz w:val="22"/>
          <w:szCs w:val="22"/>
          <w:lang w:eastAsia="ko-KR"/>
        </w:rPr>
        <w:t>Proposal 1:</w:t>
      </w:r>
      <w:r w:rsidRPr="00E167B9">
        <w:rPr>
          <w:rFonts w:eastAsia="Times New Roman"/>
          <w:color w:val="365F91" w:themeColor="accent1" w:themeShade="BF"/>
          <w:sz w:val="22"/>
          <w:szCs w:val="22"/>
          <w:lang w:eastAsia="ko-KR"/>
        </w:rPr>
        <w:t xml:space="preserve"> </w:t>
      </w:r>
      <w:r w:rsidRPr="00E167B9">
        <w:rPr>
          <w:rFonts w:eastAsia="Times New Roman"/>
          <w:color w:val="365F91" w:themeColor="accent1" w:themeShade="BF"/>
          <w:sz w:val="22"/>
          <w:szCs w:val="22"/>
          <w:lang w:eastAsia="ko-KR"/>
        </w:rPr>
        <w:tab/>
        <w:t xml:space="preserve">Update definition of </w:t>
      </w:r>
      <w:r w:rsidRPr="00854C16">
        <w:rPr>
          <w:rFonts w:eastAsia="Times New Roman"/>
          <w:noProof/>
          <w:color w:val="365F91" w:themeColor="accent1" w:themeShade="BF"/>
          <w:sz w:val="22"/>
          <w:szCs w:val="22"/>
        </w:rPr>
        <w:t>T</w:t>
      </w:r>
      <w:r w:rsidRPr="00854C16">
        <w:rPr>
          <w:rFonts w:eastAsia="Times New Roman"/>
          <w:noProof/>
          <w:color w:val="365F91" w:themeColor="accent1" w:themeShade="BF"/>
          <w:sz w:val="22"/>
          <w:szCs w:val="22"/>
          <w:vertAlign w:val="subscript"/>
        </w:rPr>
        <w:t>MultipleBWPswitchDelay</w:t>
      </w:r>
      <w:r w:rsidRPr="00E167B9">
        <w:rPr>
          <w:rFonts w:eastAsia="Times New Roman"/>
          <w:noProof/>
          <w:color w:val="365F91" w:themeColor="accent1" w:themeShade="BF"/>
          <w:sz w:val="18"/>
          <w:szCs w:val="18"/>
        </w:rPr>
        <w:t xml:space="preserve"> </w:t>
      </w:r>
      <w:r w:rsidRPr="00E167B9">
        <w:rPr>
          <w:rFonts w:eastAsia="Times New Roman"/>
          <w:noProof/>
          <w:color w:val="365F91" w:themeColor="accent1" w:themeShade="BF"/>
          <w:sz w:val="22"/>
          <w:szCs w:val="22"/>
        </w:rPr>
        <w:t xml:space="preserve">such that incremental delay D is described as depending on capability </w:t>
      </w:r>
      <w:r w:rsidRPr="00E167B9">
        <w:rPr>
          <w:rFonts w:eastAsia="Times New Roman"/>
          <w:i/>
          <w:iCs/>
          <w:noProof/>
          <w:color w:val="365F91" w:themeColor="accent1" w:themeShade="BF"/>
          <w:sz w:val="22"/>
          <w:szCs w:val="22"/>
        </w:rPr>
        <w:t>bwp-SwitchingMultiCC-r16</w:t>
      </w:r>
      <w:r w:rsidRPr="00E167B9">
        <w:rPr>
          <w:rFonts w:eastAsia="Times New Roman"/>
          <w:noProof/>
          <w:color w:val="365F91" w:themeColor="accent1" w:themeShade="BF"/>
          <w:sz w:val="22"/>
          <w:szCs w:val="22"/>
        </w:rPr>
        <w:t xml:space="preserve"> for switching between non-dormant BWPs, and on new capability [</w:t>
      </w:r>
      <w:r w:rsidRPr="00E167B9">
        <w:rPr>
          <w:rFonts w:eastAsia="Times New Roman"/>
          <w:i/>
          <w:iCs/>
          <w:noProof/>
          <w:color w:val="365F91" w:themeColor="accent1" w:themeShade="BF"/>
          <w:sz w:val="22"/>
          <w:szCs w:val="22"/>
        </w:rPr>
        <w:t>scellDormancy-SwitchingMultiCC-r16</w:t>
      </w:r>
      <w:r w:rsidRPr="00E167B9">
        <w:rPr>
          <w:rFonts w:eastAsia="Times New Roman"/>
          <w:noProof/>
          <w:color w:val="365F91" w:themeColor="accent1" w:themeShade="BF"/>
          <w:sz w:val="22"/>
          <w:szCs w:val="22"/>
        </w:rPr>
        <w:t>] for switching between non-dormant and dormant BWPs.</w:t>
      </w:r>
    </w:p>
    <w:p w14:paraId="7DBBDE51" w14:textId="2B4CD086" w:rsidR="003E4A16" w:rsidRDefault="003E4A16" w:rsidP="0093067B">
      <w:pPr>
        <w:spacing w:after="0"/>
        <w:rPr>
          <w:rFonts w:eastAsia="Times New Roman"/>
          <w:sz w:val="22"/>
          <w:szCs w:val="22"/>
          <w:lang w:eastAsia="ko-KR"/>
        </w:rPr>
      </w:pPr>
    </w:p>
    <w:p w14:paraId="3CE86B56" w14:textId="3B6AA719" w:rsidR="003E4A16" w:rsidRDefault="003E4A16" w:rsidP="0093067B">
      <w:pPr>
        <w:spacing w:after="0"/>
        <w:rPr>
          <w:rFonts w:eastAsia="Times New Roman"/>
          <w:sz w:val="22"/>
          <w:szCs w:val="22"/>
          <w:lang w:eastAsia="ko-KR"/>
        </w:rPr>
      </w:pPr>
    </w:p>
    <w:p w14:paraId="3B2A7250" w14:textId="77777777" w:rsidR="004D66A4" w:rsidRDefault="004D66A4" w:rsidP="00E167B9">
      <w:pPr>
        <w:spacing w:after="0"/>
        <w:ind w:left="1134" w:hanging="1134"/>
        <w:rPr>
          <w:rFonts w:eastAsia="Times New Roman"/>
          <w:b/>
          <w:bCs/>
          <w:color w:val="365F91" w:themeColor="accent1" w:themeShade="BF"/>
          <w:sz w:val="22"/>
          <w:szCs w:val="22"/>
          <w:lang w:eastAsia="ko-KR"/>
        </w:rPr>
      </w:pPr>
    </w:p>
    <w:p w14:paraId="2C0B2589" w14:textId="0F3A4B19" w:rsidR="004D66A4" w:rsidRPr="00C804C6" w:rsidRDefault="004D66A4" w:rsidP="00E167B9">
      <w:pPr>
        <w:spacing w:after="0"/>
        <w:ind w:left="1134" w:hanging="1134"/>
        <w:rPr>
          <w:rFonts w:eastAsia="Times New Roman"/>
          <w:sz w:val="22"/>
          <w:szCs w:val="22"/>
          <w:lang w:eastAsia="ko-KR"/>
        </w:rPr>
      </w:pPr>
    </w:p>
    <w:p w14:paraId="6122CF58" w14:textId="79BBA350" w:rsidR="00C804C6" w:rsidRPr="00C804C6" w:rsidRDefault="00C804C6" w:rsidP="00C804C6">
      <w:pPr>
        <w:spacing w:after="0"/>
        <w:rPr>
          <w:rFonts w:eastAsia="Times New Roman"/>
          <w:sz w:val="22"/>
          <w:szCs w:val="22"/>
          <w:lang w:eastAsia="ko-KR"/>
        </w:rPr>
      </w:pPr>
      <w:r w:rsidRPr="00C804C6">
        <w:rPr>
          <w:rFonts w:eastAsia="Times New Roman"/>
          <w:sz w:val="22"/>
          <w:szCs w:val="22"/>
          <w:lang w:eastAsia="ko-KR"/>
        </w:rPr>
        <w:t xml:space="preserve">As the capability </w:t>
      </w:r>
      <w:r>
        <w:rPr>
          <w:rFonts w:eastAsia="Times New Roman"/>
          <w:sz w:val="22"/>
          <w:szCs w:val="22"/>
          <w:lang w:eastAsia="ko-KR"/>
        </w:rPr>
        <w:t xml:space="preserve">reporting </w:t>
      </w:r>
      <w:r w:rsidRPr="00C804C6">
        <w:rPr>
          <w:rFonts w:eastAsia="Times New Roman"/>
          <w:sz w:val="22"/>
          <w:szCs w:val="22"/>
          <w:lang w:eastAsia="ko-KR"/>
        </w:rPr>
        <w:t>as such has to be introduced in specifications that are outside RAN4 control</w:t>
      </w:r>
      <w:r>
        <w:rPr>
          <w:rFonts w:eastAsia="Times New Roman"/>
          <w:sz w:val="22"/>
          <w:szCs w:val="22"/>
          <w:lang w:eastAsia="ko-KR"/>
        </w:rPr>
        <w:t xml:space="preserve"> (e.g. TS 38.331, TS 38.306)</w:t>
      </w:r>
      <w:r w:rsidRPr="00C804C6">
        <w:rPr>
          <w:rFonts w:eastAsia="Times New Roman"/>
          <w:sz w:val="22"/>
          <w:szCs w:val="22"/>
          <w:lang w:eastAsia="ko-KR"/>
        </w:rPr>
        <w:t>, we propose that an LS is</w:t>
      </w:r>
      <w:r>
        <w:rPr>
          <w:rFonts w:eastAsia="Times New Roman"/>
          <w:sz w:val="22"/>
          <w:szCs w:val="22"/>
          <w:lang w:eastAsia="ko-KR"/>
        </w:rPr>
        <w:t xml:space="preserve"> sent to RAN1 and RAN2, where RAN4 is conveying the need for the capability with the tentative name </w:t>
      </w:r>
      <w:r w:rsidRPr="00C804C6">
        <w:rPr>
          <w:rFonts w:eastAsia="Times New Roman"/>
          <w:i/>
          <w:iCs/>
          <w:noProof/>
          <w:sz w:val="22"/>
          <w:szCs w:val="22"/>
        </w:rPr>
        <w:t>scellDormancy-SwitchingMultiCC-r16</w:t>
      </w:r>
      <w:r w:rsidRPr="00C804C6">
        <w:rPr>
          <w:rFonts w:eastAsia="Times New Roman"/>
          <w:noProof/>
          <w:sz w:val="22"/>
          <w:szCs w:val="22"/>
        </w:rPr>
        <w:t xml:space="preserve"> and </w:t>
      </w:r>
      <w:r>
        <w:rPr>
          <w:rFonts w:eastAsia="Times New Roman"/>
          <w:noProof/>
          <w:sz w:val="22"/>
          <w:szCs w:val="22"/>
        </w:rPr>
        <w:t>with values as discussed above.</w:t>
      </w:r>
    </w:p>
    <w:p w14:paraId="57F0015A" w14:textId="14502186" w:rsidR="00C804C6" w:rsidRPr="00C804C6" w:rsidRDefault="00C804C6" w:rsidP="00E167B9">
      <w:pPr>
        <w:spacing w:after="0"/>
        <w:ind w:left="1134" w:hanging="1134"/>
        <w:rPr>
          <w:rFonts w:eastAsia="Times New Roman"/>
          <w:color w:val="365F91" w:themeColor="accent1" w:themeShade="BF"/>
          <w:sz w:val="22"/>
          <w:szCs w:val="22"/>
          <w:lang w:eastAsia="ko-KR"/>
        </w:rPr>
      </w:pPr>
      <w:r>
        <w:rPr>
          <w:rFonts w:eastAsia="Times New Roman"/>
          <w:color w:val="365F91" w:themeColor="accent1" w:themeShade="BF"/>
          <w:sz w:val="22"/>
          <w:szCs w:val="22"/>
          <w:lang w:eastAsia="ko-KR"/>
        </w:rPr>
        <w:t xml:space="preserve"> </w:t>
      </w:r>
    </w:p>
    <w:p w14:paraId="3D2E875D" w14:textId="71ECFF4D" w:rsidR="00E167B9" w:rsidRDefault="00E167B9" w:rsidP="00E167B9">
      <w:pPr>
        <w:spacing w:after="0"/>
        <w:ind w:left="1134" w:hanging="1134"/>
        <w:rPr>
          <w:rFonts w:eastAsia="Times New Roman"/>
          <w:color w:val="365F91" w:themeColor="accent1" w:themeShade="BF"/>
          <w:sz w:val="22"/>
          <w:szCs w:val="22"/>
          <w:lang w:eastAsia="ko-KR"/>
        </w:rPr>
      </w:pPr>
      <w:r w:rsidRPr="00E167B9">
        <w:rPr>
          <w:rFonts w:eastAsia="Times New Roman"/>
          <w:b/>
          <w:bCs/>
          <w:color w:val="365F91" w:themeColor="accent1" w:themeShade="BF"/>
          <w:sz w:val="22"/>
          <w:szCs w:val="22"/>
          <w:lang w:eastAsia="ko-KR"/>
        </w:rPr>
        <w:t>Proposal 2:</w:t>
      </w:r>
      <w:r>
        <w:rPr>
          <w:rFonts w:eastAsia="Times New Roman"/>
          <w:b/>
          <w:bCs/>
          <w:color w:val="365F91" w:themeColor="accent1" w:themeShade="BF"/>
          <w:sz w:val="22"/>
          <w:szCs w:val="22"/>
          <w:lang w:eastAsia="ko-KR"/>
        </w:rPr>
        <w:tab/>
      </w:r>
      <w:r>
        <w:rPr>
          <w:rFonts w:eastAsia="Times New Roman"/>
          <w:color w:val="365F91" w:themeColor="accent1" w:themeShade="BF"/>
          <w:sz w:val="22"/>
          <w:szCs w:val="22"/>
          <w:lang w:eastAsia="ko-KR"/>
        </w:rPr>
        <w:t xml:space="preserve">Send LS to RAN1/RAN2 on the need for a new capability </w:t>
      </w:r>
      <w:r w:rsidRPr="00E167B9">
        <w:rPr>
          <w:rFonts w:eastAsia="Times New Roman"/>
          <w:i/>
          <w:iCs/>
          <w:noProof/>
          <w:color w:val="365F91" w:themeColor="accent1" w:themeShade="BF"/>
          <w:sz w:val="22"/>
          <w:szCs w:val="22"/>
        </w:rPr>
        <w:t>scellDormancy-SwitchingMultiCC-r16</w:t>
      </w:r>
      <w:r>
        <w:rPr>
          <w:rFonts w:eastAsia="Times New Roman"/>
          <w:noProof/>
          <w:color w:val="365F91" w:themeColor="accent1" w:themeShade="BF"/>
          <w:sz w:val="22"/>
          <w:szCs w:val="22"/>
        </w:rPr>
        <w:t xml:space="preserve"> </w:t>
      </w:r>
      <w:r>
        <w:rPr>
          <w:rFonts w:eastAsia="Times New Roman"/>
          <w:color w:val="365F91" w:themeColor="accent1" w:themeShade="BF"/>
          <w:sz w:val="22"/>
          <w:szCs w:val="22"/>
          <w:lang w:eastAsia="ko-KR"/>
        </w:rPr>
        <w:t>with the following parameter value sets:</w:t>
      </w:r>
    </w:p>
    <w:p w14:paraId="64A6F1A9" w14:textId="65F683E3" w:rsidR="00E167B9" w:rsidRPr="00E167B9" w:rsidRDefault="00E167B9" w:rsidP="00E167B9">
      <w:pPr>
        <w:spacing w:after="0"/>
        <w:ind w:left="1420"/>
        <w:rPr>
          <w:rFonts w:eastAsia="Times New Roman"/>
          <w:i/>
          <w:iCs/>
          <w:color w:val="365F91" w:themeColor="accent1" w:themeShade="BF"/>
          <w:sz w:val="22"/>
          <w:szCs w:val="22"/>
          <w:lang w:eastAsia="ko-KR"/>
        </w:rPr>
      </w:pPr>
      <w:r w:rsidRPr="00E167B9">
        <w:rPr>
          <w:rFonts w:eastAsia="Times New Roman"/>
          <w:i/>
          <w:iCs/>
          <w:color w:val="365F91" w:themeColor="accent1" w:themeShade="BF"/>
          <w:sz w:val="22"/>
          <w:szCs w:val="22"/>
          <w:lang w:eastAsia="ko-KR"/>
        </w:rPr>
        <w:t>scellDormancy-SwitchingMultiCC-r16</w:t>
      </w:r>
    </w:p>
    <w:p w14:paraId="7391C432" w14:textId="77777777" w:rsidR="00E167B9" w:rsidRPr="00E167B9" w:rsidRDefault="00E167B9" w:rsidP="00E167B9">
      <w:pPr>
        <w:pStyle w:val="ListParagraph"/>
        <w:numPr>
          <w:ilvl w:val="2"/>
          <w:numId w:val="46"/>
        </w:numPr>
        <w:spacing w:after="0"/>
        <w:ind w:left="2654"/>
        <w:rPr>
          <w:rFonts w:eastAsia="Times New Roman"/>
          <w:color w:val="365F91" w:themeColor="accent1" w:themeShade="BF"/>
          <w:sz w:val="22"/>
          <w:szCs w:val="22"/>
          <w:lang w:eastAsia="ko-KR"/>
        </w:rPr>
      </w:pPr>
      <w:r w:rsidRPr="00E167B9">
        <w:rPr>
          <w:rFonts w:eastAsia="Times New Roman"/>
          <w:color w:val="365F91" w:themeColor="accent1" w:themeShade="BF"/>
          <w:sz w:val="22"/>
          <w:szCs w:val="22"/>
          <w:lang w:eastAsia="ko-KR"/>
        </w:rPr>
        <w:t xml:space="preserve">UE supporting </w:t>
      </w:r>
      <w:r w:rsidRPr="00E167B9">
        <w:rPr>
          <w:rFonts w:eastAsia="Times New Roman"/>
          <w:i/>
          <w:iCs/>
          <w:color w:val="365F91" w:themeColor="accent1" w:themeShade="BF"/>
          <w:sz w:val="22"/>
          <w:szCs w:val="22"/>
          <w:lang w:eastAsia="ko-KR"/>
        </w:rPr>
        <w:t>bwp-SwitchingDelay</w:t>
      </w:r>
      <w:r w:rsidRPr="00E167B9">
        <w:rPr>
          <w:rFonts w:eastAsia="Times New Roman"/>
          <w:color w:val="365F91" w:themeColor="accent1" w:themeShade="BF"/>
          <w:sz w:val="22"/>
          <w:szCs w:val="22"/>
          <w:lang w:eastAsia="ko-KR"/>
        </w:rPr>
        <w:t xml:space="preserve"> Type 1: {100us, 200us}</w:t>
      </w:r>
    </w:p>
    <w:p w14:paraId="725C9532" w14:textId="180A1660" w:rsidR="003009E1" w:rsidRPr="00C804C6" w:rsidRDefault="00E167B9" w:rsidP="003009E1">
      <w:pPr>
        <w:pStyle w:val="ListParagraph"/>
        <w:numPr>
          <w:ilvl w:val="2"/>
          <w:numId w:val="46"/>
        </w:numPr>
        <w:spacing w:after="0"/>
        <w:ind w:left="2654"/>
        <w:rPr>
          <w:rFonts w:eastAsia="Times New Roman"/>
          <w:color w:val="365F91" w:themeColor="accent1" w:themeShade="BF"/>
          <w:sz w:val="22"/>
          <w:szCs w:val="22"/>
          <w:lang w:eastAsia="ko-KR"/>
        </w:rPr>
      </w:pPr>
      <w:r w:rsidRPr="00E167B9">
        <w:rPr>
          <w:rFonts w:eastAsia="Times New Roman"/>
          <w:color w:val="365F91" w:themeColor="accent1" w:themeShade="BF"/>
          <w:sz w:val="22"/>
          <w:szCs w:val="22"/>
          <w:lang w:eastAsia="ko-KR"/>
        </w:rPr>
        <w:t xml:space="preserve">UE supporting </w:t>
      </w:r>
      <w:r w:rsidRPr="00E167B9">
        <w:rPr>
          <w:rFonts w:eastAsia="Times New Roman"/>
          <w:i/>
          <w:iCs/>
          <w:color w:val="365F91" w:themeColor="accent1" w:themeShade="BF"/>
          <w:sz w:val="22"/>
          <w:szCs w:val="22"/>
          <w:lang w:eastAsia="ko-KR"/>
        </w:rPr>
        <w:t>bwp-SwitchingDelay</w:t>
      </w:r>
      <w:r w:rsidRPr="00E167B9">
        <w:rPr>
          <w:rFonts w:eastAsia="Times New Roman"/>
          <w:color w:val="365F91" w:themeColor="accent1" w:themeShade="BF"/>
          <w:sz w:val="22"/>
          <w:szCs w:val="22"/>
          <w:lang w:eastAsia="ko-KR"/>
        </w:rPr>
        <w:t xml:space="preserve"> Type 2: {200us, 400us, 800us, 1000us}</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1B45FF49" w14:textId="36FF73F4" w:rsidR="00C804C6" w:rsidRPr="00DF54C9" w:rsidRDefault="00C804C6" w:rsidP="00C804C6">
      <w:pPr>
        <w:rPr>
          <w:sz w:val="22"/>
          <w:lang w:val="en-CA"/>
        </w:rPr>
      </w:pPr>
      <w:r>
        <w:rPr>
          <w:sz w:val="22"/>
          <w:lang w:val="en-CA"/>
        </w:rPr>
        <w:t xml:space="preserve">In this contribution we have provided input on specification changes needed for introduction of a separate capability for </w:t>
      </w:r>
      <w:r w:rsidRPr="00C804C6">
        <w:rPr>
          <w:rFonts w:eastAsia="Times New Roman"/>
          <w:noProof/>
          <w:sz w:val="22"/>
          <w:szCs w:val="22"/>
        </w:rPr>
        <w:t>incremental delay D</w:t>
      </w:r>
      <w:r>
        <w:rPr>
          <w:rFonts w:eastAsia="Times New Roman"/>
          <w:noProof/>
          <w:sz w:val="22"/>
          <w:szCs w:val="22"/>
        </w:rPr>
        <w:t xml:space="preserve"> for BWP switching between non-dormant and dormant BWPs (SCell dormancy switching) on multiple CCs. The following is proposed:</w:t>
      </w:r>
    </w:p>
    <w:p w14:paraId="73637F15" w14:textId="01102353" w:rsidR="00E167B9" w:rsidRPr="00C804C6" w:rsidRDefault="00E167B9" w:rsidP="00C804C6">
      <w:pPr>
        <w:spacing w:after="0"/>
        <w:ind w:left="1134" w:hanging="1134"/>
        <w:rPr>
          <w:rFonts w:eastAsia="Times New Roman"/>
          <w:color w:val="365F91" w:themeColor="accent1" w:themeShade="BF"/>
          <w:sz w:val="22"/>
          <w:szCs w:val="22"/>
          <w:lang w:eastAsia="ko-KR"/>
        </w:rPr>
      </w:pPr>
      <w:r w:rsidRPr="00E167B9">
        <w:rPr>
          <w:rFonts w:eastAsia="Times New Roman"/>
          <w:b/>
          <w:bCs/>
          <w:color w:val="365F91" w:themeColor="accent1" w:themeShade="BF"/>
          <w:sz w:val="22"/>
          <w:szCs w:val="22"/>
          <w:lang w:eastAsia="ko-KR"/>
        </w:rPr>
        <w:t>Proposal 1:</w:t>
      </w:r>
      <w:r w:rsidRPr="00E167B9">
        <w:rPr>
          <w:rFonts w:eastAsia="Times New Roman"/>
          <w:color w:val="365F91" w:themeColor="accent1" w:themeShade="BF"/>
          <w:sz w:val="22"/>
          <w:szCs w:val="22"/>
          <w:lang w:eastAsia="ko-KR"/>
        </w:rPr>
        <w:t xml:space="preserve"> </w:t>
      </w:r>
      <w:r w:rsidRPr="00E167B9">
        <w:rPr>
          <w:rFonts w:eastAsia="Times New Roman"/>
          <w:color w:val="365F91" w:themeColor="accent1" w:themeShade="BF"/>
          <w:sz w:val="22"/>
          <w:szCs w:val="22"/>
          <w:lang w:eastAsia="ko-KR"/>
        </w:rPr>
        <w:tab/>
        <w:t xml:space="preserve">Update definition of </w:t>
      </w:r>
      <w:r w:rsidRPr="00854C16">
        <w:rPr>
          <w:rFonts w:eastAsia="Times New Roman"/>
          <w:noProof/>
          <w:color w:val="365F91" w:themeColor="accent1" w:themeShade="BF"/>
          <w:sz w:val="22"/>
          <w:szCs w:val="22"/>
        </w:rPr>
        <w:t>T</w:t>
      </w:r>
      <w:r w:rsidRPr="00854C16">
        <w:rPr>
          <w:rFonts w:eastAsia="Times New Roman"/>
          <w:noProof/>
          <w:color w:val="365F91" w:themeColor="accent1" w:themeShade="BF"/>
          <w:sz w:val="22"/>
          <w:szCs w:val="22"/>
          <w:vertAlign w:val="subscript"/>
        </w:rPr>
        <w:t>MultipleBWPswitchDelay</w:t>
      </w:r>
      <w:r w:rsidRPr="00E167B9">
        <w:rPr>
          <w:rFonts w:eastAsia="Times New Roman"/>
          <w:noProof/>
          <w:color w:val="365F91" w:themeColor="accent1" w:themeShade="BF"/>
          <w:sz w:val="18"/>
          <w:szCs w:val="18"/>
        </w:rPr>
        <w:t xml:space="preserve"> </w:t>
      </w:r>
      <w:r w:rsidRPr="00E167B9">
        <w:rPr>
          <w:rFonts w:eastAsia="Times New Roman"/>
          <w:noProof/>
          <w:color w:val="365F91" w:themeColor="accent1" w:themeShade="BF"/>
          <w:sz w:val="22"/>
          <w:szCs w:val="22"/>
        </w:rPr>
        <w:t xml:space="preserve">such that incremental delay D is described as depending on capability </w:t>
      </w:r>
      <w:r w:rsidRPr="00E167B9">
        <w:rPr>
          <w:rFonts w:eastAsia="Times New Roman"/>
          <w:i/>
          <w:iCs/>
          <w:noProof/>
          <w:color w:val="365F91" w:themeColor="accent1" w:themeShade="BF"/>
          <w:sz w:val="22"/>
          <w:szCs w:val="22"/>
        </w:rPr>
        <w:t>bwp-SwitchingMultiCC-r16</w:t>
      </w:r>
      <w:r w:rsidRPr="00E167B9">
        <w:rPr>
          <w:rFonts w:eastAsia="Times New Roman"/>
          <w:noProof/>
          <w:color w:val="365F91" w:themeColor="accent1" w:themeShade="BF"/>
          <w:sz w:val="22"/>
          <w:szCs w:val="22"/>
        </w:rPr>
        <w:t xml:space="preserve"> for switching between non-dormant BWPs, and on new capability [</w:t>
      </w:r>
      <w:r w:rsidRPr="00E167B9">
        <w:rPr>
          <w:rFonts w:eastAsia="Times New Roman"/>
          <w:i/>
          <w:iCs/>
          <w:noProof/>
          <w:color w:val="365F91" w:themeColor="accent1" w:themeShade="BF"/>
          <w:sz w:val="22"/>
          <w:szCs w:val="22"/>
        </w:rPr>
        <w:t>scellDormancy-SwitchingMultiCC-r16</w:t>
      </w:r>
      <w:r w:rsidRPr="00E167B9">
        <w:rPr>
          <w:rFonts w:eastAsia="Times New Roman"/>
          <w:noProof/>
          <w:color w:val="365F91" w:themeColor="accent1" w:themeShade="BF"/>
          <w:sz w:val="22"/>
          <w:szCs w:val="22"/>
        </w:rPr>
        <w:t>] for switching between non-dormant and dormant BWPs.</w:t>
      </w:r>
    </w:p>
    <w:p w14:paraId="4B0F4768" w14:textId="77777777" w:rsidR="00E167B9" w:rsidRDefault="00E167B9" w:rsidP="00E167B9">
      <w:pPr>
        <w:spacing w:after="0"/>
        <w:rPr>
          <w:rFonts w:eastAsia="Times New Roman"/>
          <w:sz w:val="22"/>
          <w:szCs w:val="22"/>
          <w:lang w:eastAsia="ko-KR"/>
        </w:rPr>
      </w:pPr>
    </w:p>
    <w:p w14:paraId="24334783" w14:textId="77777777" w:rsidR="00E167B9" w:rsidRDefault="00E167B9" w:rsidP="00E167B9">
      <w:pPr>
        <w:spacing w:after="0"/>
        <w:ind w:left="1134" w:hanging="1134"/>
        <w:rPr>
          <w:rFonts w:eastAsia="Times New Roman"/>
          <w:color w:val="365F91" w:themeColor="accent1" w:themeShade="BF"/>
          <w:sz w:val="22"/>
          <w:szCs w:val="22"/>
          <w:lang w:eastAsia="ko-KR"/>
        </w:rPr>
      </w:pPr>
      <w:r w:rsidRPr="00E167B9">
        <w:rPr>
          <w:rFonts w:eastAsia="Times New Roman"/>
          <w:b/>
          <w:bCs/>
          <w:color w:val="365F91" w:themeColor="accent1" w:themeShade="BF"/>
          <w:sz w:val="22"/>
          <w:szCs w:val="22"/>
          <w:lang w:eastAsia="ko-KR"/>
        </w:rPr>
        <w:t>Proposal 2:</w:t>
      </w:r>
      <w:r>
        <w:rPr>
          <w:rFonts w:eastAsia="Times New Roman"/>
          <w:b/>
          <w:bCs/>
          <w:color w:val="365F91" w:themeColor="accent1" w:themeShade="BF"/>
          <w:sz w:val="22"/>
          <w:szCs w:val="22"/>
          <w:lang w:eastAsia="ko-KR"/>
        </w:rPr>
        <w:tab/>
      </w:r>
      <w:r>
        <w:rPr>
          <w:rFonts w:eastAsia="Times New Roman"/>
          <w:color w:val="365F91" w:themeColor="accent1" w:themeShade="BF"/>
          <w:sz w:val="22"/>
          <w:szCs w:val="22"/>
          <w:lang w:eastAsia="ko-KR"/>
        </w:rPr>
        <w:t xml:space="preserve">Send LS to RAN1/RAN2 on the need for a new capability </w:t>
      </w:r>
      <w:r w:rsidRPr="00E167B9">
        <w:rPr>
          <w:rFonts w:eastAsia="Times New Roman"/>
          <w:i/>
          <w:iCs/>
          <w:noProof/>
          <w:color w:val="365F91" w:themeColor="accent1" w:themeShade="BF"/>
          <w:sz w:val="22"/>
          <w:szCs w:val="22"/>
        </w:rPr>
        <w:t>scellDormancy-SwitchingMultiCC-r16</w:t>
      </w:r>
      <w:r>
        <w:rPr>
          <w:rFonts w:eastAsia="Times New Roman"/>
          <w:noProof/>
          <w:color w:val="365F91" w:themeColor="accent1" w:themeShade="BF"/>
          <w:sz w:val="22"/>
          <w:szCs w:val="22"/>
        </w:rPr>
        <w:t xml:space="preserve"> </w:t>
      </w:r>
      <w:r>
        <w:rPr>
          <w:rFonts w:eastAsia="Times New Roman"/>
          <w:color w:val="365F91" w:themeColor="accent1" w:themeShade="BF"/>
          <w:sz w:val="22"/>
          <w:szCs w:val="22"/>
          <w:lang w:eastAsia="ko-KR"/>
        </w:rPr>
        <w:t>with the following parameter value sets:</w:t>
      </w:r>
    </w:p>
    <w:p w14:paraId="5E4B2130" w14:textId="77777777" w:rsidR="00E167B9" w:rsidRPr="00E167B9" w:rsidRDefault="00E167B9" w:rsidP="00E167B9">
      <w:pPr>
        <w:spacing w:after="0"/>
        <w:ind w:left="1420"/>
        <w:rPr>
          <w:rFonts w:eastAsia="Times New Roman"/>
          <w:i/>
          <w:iCs/>
          <w:color w:val="365F91" w:themeColor="accent1" w:themeShade="BF"/>
          <w:sz w:val="22"/>
          <w:szCs w:val="22"/>
          <w:lang w:eastAsia="ko-KR"/>
        </w:rPr>
      </w:pPr>
      <w:r w:rsidRPr="00E167B9">
        <w:rPr>
          <w:rFonts w:eastAsia="Times New Roman"/>
          <w:i/>
          <w:iCs/>
          <w:color w:val="365F91" w:themeColor="accent1" w:themeShade="BF"/>
          <w:sz w:val="22"/>
          <w:szCs w:val="22"/>
          <w:lang w:eastAsia="ko-KR"/>
        </w:rPr>
        <w:t>scellDormancy-SwitchingMultiCC-r16</w:t>
      </w:r>
    </w:p>
    <w:p w14:paraId="03451BE9" w14:textId="77777777" w:rsidR="00E167B9" w:rsidRPr="00E167B9" w:rsidRDefault="00E167B9" w:rsidP="00E167B9">
      <w:pPr>
        <w:pStyle w:val="ListParagraph"/>
        <w:numPr>
          <w:ilvl w:val="2"/>
          <w:numId w:val="46"/>
        </w:numPr>
        <w:spacing w:after="0"/>
        <w:ind w:left="2654"/>
        <w:rPr>
          <w:rFonts w:eastAsia="Times New Roman"/>
          <w:color w:val="365F91" w:themeColor="accent1" w:themeShade="BF"/>
          <w:sz w:val="22"/>
          <w:szCs w:val="22"/>
          <w:lang w:eastAsia="ko-KR"/>
        </w:rPr>
      </w:pPr>
      <w:r w:rsidRPr="00E167B9">
        <w:rPr>
          <w:rFonts w:eastAsia="Times New Roman"/>
          <w:color w:val="365F91" w:themeColor="accent1" w:themeShade="BF"/>
          <w:sz w:val="22"/>
          <w:szCs w:val="22"/>
          <w:lang w:eastAsia="ko-KR"/>
        </w:rPr>
        <w:t xml:space="preserve">UE supporting </w:t>
      </w:r>
      <w:r w:rsidRPr="00E167B9">
        <w:rPr>
          <w:rFonts w:eastAsia="Times New Roman"/>
          <w:i/>
          <w:iCs/>
          <w:color w:val="365F91" w:themeColor="accent1" w:themeShade="BF"/>
          <w:sz w:val="22"/>
          <w:szCs w:val="22"/>
          <w:lang w:eastAsia="ko-KR"/>
        </w:rPr>
        <w:t>bwp-SwitchingDelay</w:t>
      </w:r>
      <w:r w:rsidRPr="00E167B9">
        <w:rPr>
          <w:rFonts w:eastAsia="Times New Roman"/>
          <w:color w:val="365F91" w:themeColor="accent1" w:themeShade="BF"/>
          <w:sz w:val="22"/>
          <w:szCs w:val="22"/>
          <w:lang w:eastAsia="ko-KR"/>
        </w:rPr>
        <w:t xml:space="preserve"> Type 1: {100us, 200us}</w:t>
      </w:r>
    </w:p>
    <w:p w14:paraId="0D4C7B96" w14:textId="77777777" w:rsidR="00E167B9" w:rsidRPr="00E167B9" w:rsidRDefault="00E167B9" w:rsidP="00E167B9">
      <w:pPr>
        <w:pStyle w:val="ListParagraph"/>
        <w:numPr>
          <w:ilvl w:val="2"/>
          <w:numId w:val="46"/>
        </w:numPr>
        <w:spacing w:after="0"/>
        <w:ind w:left="2654"/>
        <w:rPr>
          <w:rFonts w:eastAsia="Times New Roman"/>
          <w:color w:val="365F91" w:themeColor="accent1" w:themeShade="BF"/>
          <w:sz w:val="22"/>
          <w:szCs w:val="22"/>
          <w:lang w:eastAsia="ko-KR"/>
        </w:rPr>
      </w:pPr>
      <w:r w:rsidRPr="00E167B9">
        <w:rPr>
          <w:rFonts w:eastAsia="Times New Roman"/>
          <w:color w:val="365F91" w:themeColor="accent1" w:themeShade="BF"/>
          <w:sz w:val="22"/>
          <w:szCs w:val="22"/>
          <w:lang w:eastAsia="ko-KR"/>
        </w:rPr>
        <w:t xml:space="preserve">UE supporting </w:t>
      </w:r>
      <w:r w:rsidRPr="00E167B9">
        <w:rPr>
          <w:rFonts w:eastAsia="Times New Roman"/>
          <w:i/>
          <w:iCs/>
          <w:color w:val="365F91" w:themeColor="accent1" w:themeShade="BF"/>
          <w:sz w:val="22"/>
          <w:szCs w:val="22"/>
          <w:lang w:eastAsia="ko-KR"/>
        </w:rPr>
        <w:t>bwp-SwitchingDelay</w:t>
      </w:r>
      <w:r w:rsidRPr="00E167B9">
        <w:rPr>
          <w:rFonts w:eastAsia="Times New Roman"/>
          <w:color w:val="365F91" w:themeColor="accent1" w:themeShade="BF"/>
          <w:sz w:val="22"/>
          <w:szCs w:val="22"/>
          <w:lang w:eastAsia="ko-KR"/>
        </w:rPr>
        <w:t xml:space="preserve"> Type 2: {200us, 400us, 800us, 1000us}</w:t>
      </w:r>
    </w:p>
    <w:p w14:paraId="0764ECC5" w14:textId="6327C5CC" w:rsidR="00E167B9" w:rsidRDefault="00E167B9" w:rsidP="00D1502B">
      <w:pPr>
        <w:rPr>
          <w:sz w:val="22"/>
        </w:rPr>
      </w:pPr>
    </w:p>
    <w:p w14:paraId="07DC081E" w14:textId="3826EF0B" w:rsidR="00C804C6" w:rsidRPr="00E167B9" w:rsidRDefault="00C804C6" w:rsidP="00D1502B">
      <w:pPr>
        <w:rPr>
          <w:sz w:val="22"/>
        </w:rPr>
      </w:pPr>
      <w:r>
        <w:rPr>
          <w:sz w:val="22"/>
        </w:rPr>
        <w:t xml:space="preserve">A CR </w:t>
      </w:r>
      <w:r w:rsidR="00D032D5">
        <w:rPr>
          <w:sz w:val="22"/>
        </w:rPr>
        <w:t>implementing</w:t>
      </w:r>
      <w:r>
        <w:rPr>
          <w:sz w:val="22"/>
        </w:rPr>
        <w:t xml:space="preserve"> Proposal 1 is provided in </w:t>
      </w:r>
      <w:r>
        <w:rPr>
          <w:sz w:val="22"/>
        </w:rPr>
        <w:fldChar w:fldCharType="begin"/>
      </w:r>
      <w:r>
        <w:rPr>
          <w:sz w:val="22"/>
        </w:rPr>
        <w:instrText xml:space="preserve"> REF _Ref60927400 \r \h </w:instrText>
      </w:r>
      <w:r>
        <w:rPr>
          <w:sz w:val="22"/>
        </w:rPr>
      </w:r>
      <w:r>
        <w:rPr>
          <w:sz w:val="22"/>
        </w:rPr>
        <w:fldChar w:fldCharType="separate"/>
      </w:r>
      <w:r>
        <w:rPr>
          <w:sz w:val="22"/>
        </w:rPr>
        <w:t>[4]</w:t>
      </w:r>
      <w:r>
        <w:rPr>
          <w:sz w:val="22"/>
        </w:rPr>
        <w:fldChar w:fldCharType="end"/>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18BE7149" w14:textId="6A751594" w:rsidR="003F65E1" w:rsidRDefault="00142C2E" w:rsidP="000D717D">
      <w:pPr>
        <w:numPr>
          <w:ilvl w:val="0"/>
          <w:numId w:val="9"/>
        </w:numPr>
        <w:tabs>
          <w:tab w:val="left" w:pos="851"/>
        </w:tabs>
        <w:rPr>
          <w:rFonts w:ascii="Arial" w:hAnsi="Arial" w:cs="Arial"/>
          <w:sz w:val="22"/>
          <w:szCs w:val="22"/>
          <w:lang w:val="en-CA"/>
        </w:rPr>
      </w:pPr>
      <w:bookmarkStart w:id="7" w:name="_Ref60925107"/>
      <w:bookmarkEnd w:id="4"/>
      <w:bookmarkEnd w:id="5"/>
      <w:bookmarkEnd w:id="6"/>
      <w:r>
        <w:rPr>
          <w:rFonts w:ascii="Arial" w:hAnsi="Arial" w:cs="Arial"/>
          <w:sz w:val="22"/>
          <w:szCs w:val="22"/>
          <w:lang w:val="en-CA"/>
        </w:rPr>
        <w:t>R</w:t>
      </w:r>
      <w:r w:rsidR="00FE2282">
        <w:rPr>
          <w:rFonts w:ascii="Arial" w:hAnsi="Arial" w:cs="Arial"/>
          <w:sz w:val="22"/>
          <w:szCs w:val="22"/>
          <w:lang w:val="en-CA"/>
        </w:rPr>
        <w:t>4</w:t>
      </w:r>
      <w:r>
        <w:rPr>
          <w:rFonts w:ascii="Arial" w:hAnsi="Arial" w:cs="Arial"/>
          <w:sz w:val="22"/>
          <w:szCs w:val="22"/>
          <w:lang w:val="en-CA"/>
        </w:rPr>
        <w:t>-20</w:t>
      </w:r>
      <w:r w:rsidR="004A35EE">
        <w:rPr>
          <w:rFonts w:ascii="Arial" w:hAnsi="Arial" w:cs="Arial"/>
          <w:sz w:val="22"/>
          <w:szCs w:val="22"/>
          <w:lang w:val="en-CA"/>
        </w:rPr>
        <w:t>17123 “</w:t>
      </w:r>
      <w:r w:rsidR="004A35EE" w:rsidRPr="004A35EE">
        <w:rPr>
          <w:rFonts w:ascii="Arial" w:hAnsi="Arial" w:cs="Arial"/>
          <w:sz w:val="22"/>
          <w:szCs w:val="22"/>
          <w:lang w:val="en-CA"/>
        </w:rPr>
        <w:t>Way Forward on RRM Core requirements maintenance in MR-DC RRM 2</w:t>
      </w:r>
      <w:r w:rsidR="004A35EE">
        <w:rPr>
          <w:rFonts w:ascii="Arial" w:hAnsi="Arial" w:cs="Arial"/>
          <w:sz w:val="22"/>
          <w:szCs w:val="22"/>
          <w:lang w:val="en-CA"/>
        </w:rPr>
        <w:t>”, Ericsson</w:t>
      </w:r>
      <w:bookmarkEnd w:id="7"/>
    </w:p>
    <w:p w14:paraId="1F9B9E96" w14:textId="7DA1D8C1" w:rsidR="004A35EE" w:rsidRDefault="00FE2282" w:rsidP="000D717D">
      <w:pPr>
        <w:numPr>
          <w:ilvl w:val="0"/>
          <w:numId w:val="9"/>
        </w:numPr>
        <w:tabs>
          <w:tab w:val="left" w:pos="851"/>
        </w:tabs>
        <w:rPr>
          <w:rFonts w:ascii="Arial" w:hAnsi="Arial" w:cs="Arial"/>
          <w:sz w:val="22"/>
          <w:szCs w:val="22"/>
          <w:lang w:val="en-CA"/>
        </w:rPr>
      </w:pPr>
      <w:r w:rsidRPr="00FE2282">
        <w:rPr>
          <w:rFonts w:ascii="Arial" w:hAnsi="Arial" w:cs="Arial"/>
          <w:sz w:val="22"/>
          <w:szCs w:val="22"/>
          <w:lang w:val="en-CA"/>
        </w:rPr>
        <w:t>R4-2017281</w:t>
      </w:r>
      <w:r>
        <w:rPr>
          <w:rFonts w:ascii="Arial" w:hAnsi="Arial" w:cs="Arial"/>
          <w:sz w:val="22"/>
          <w:szCs w:val="22"/>
          <w:lang w:val="en-CA"/>
        </w:rPr>
        <w:t xml:space="preserve"> “</w:t>
      </w:r>
      <w:r>
        <w:rPr>
          <w:rFonts w:ascii="Arial" w:hAnsi="Arial" w:cs="Arial" w:hint="eastAsia"/>
          <w:color w:val="000000"/>
          <w:sz w:val="22"/>
          <w:lang w:eastAsia="zh-CN"/>
        </w:rPr>
        <w:t xml:space="preserve">Email discussion summary for </w:t>
      </w:r>
      <w:r w:rsidRPr="00401D82">
        <w:rPr>
          <w:rFonts w:ascii="Arial" w:hAnsi="Arial" w:cs="Arial"/>
          <w:color w:val="000000"/>
          <w:sz w:val="22"/>
          <w:lang w:eastAsia="zh-CN"/>
        </w:rPr>
        <w:t>[97e][211] LTE_NR_DC_CA_RRM_2</w:t>
      </w:r>
      <w:r>
        <w:rPr>
          <w:rFonts w:ascii="Arial" w:hAnsi="Arial" w:cs="Arial"/>
          <w:sz w:val="22"/>
          <w:szCs w:val="22"/>
          <w:lang w:val="en-CA"/>
        </w:rPr>
        <w:t>”, Moderator (Ericsson)</w:t>
      </w:r>
    </w:p>
    <w:p w14:paraId="450564B1" w14:textId="4A2DD6FA" w:rsidR="00FE2282" w:rsidRDefault="005B6C2F" w:rsidP="000D717D">
      <w:pPr>
        <w:numPr>
          <w:ilvl w:val="0"/>
          <w:numId w:val="9"/>
        </w:numPr>
        <w:tabs>
          <w:tab w:val="left" w:pos="851"/>
        </w:tabs>
        <w:rPr>
          <w:rFonts w:ascii="Arial" w:hAnsi="Arial" w:cs="Arial"/>
          <w:sz w:val="22"/>
          <w:szCs w:val="22"/>
          <w:lang w:val="en-CA"/>
        </w:rPr>
      </w:pPr>
      <w:bookmarkStart w:id="8" w:name="_Ref60918023"/>
      <w:r>
        <w:rPr>
          <w:rFonts w:ascii="Arial" w:hAnsi="Arial" w:cs="Arial"/>
          <w:sz w:val="22"/>
          <w:szCs w:val="22"/>
          <w:lang w:val="en-CA"/>
        </w:rPr>
        <w:t>3GPP TS 38.306</w:t>
      </w:r>
      <w:bookmarkEnd w:id="8"/>
    </w:p>
    <w:p w14:paraId="5B9D091B" w14:textId="37E30204" w:rsidR="00E167B9" w:rsidRPr="00C36CC9" w:rsidRDefault="00E167B9" w:rsidP="000D717D">
      <w:pPr>
        <w:numPr>
          <w:ilvl w:val="0"/>
          <w:numId w:val="9"/>
        </w:numPr>
        <w:tabs>
          <w:tab w:val="left" w:pos="851"/>
        </w:tabs>
        <w:rPr>
          <w:rFonts w:ascii="Arial" w:hAnsi="Arial" w:cs="Arial"/>
          <w:sz w:val="22"/>
          <w:szCs w:val="22"/>
          <w:lang w:val="en-CA"/>
        </w:rPr>
      </w:pPr>
      <w:bookmarkStart w:id="9" w:name="_Ref60927400"/>
      <w:r w:rsidRPr="00C36CC9">
        <w:rPr>
          <w:rFonts w:ascii="Arial" w:hAnsi="Arial" w:cs="Arial"/>
          <w:sz w:val="22"/>
          <w:szCs w:val="22"/>
          <w:lang w:val="en-CA"/>
        </w:rPr>
        <w:t>R4-21</w:t>
      </w:r>
      <w:r w:rsidR="00C36CC9">
        <w:rPr>
          <w:rFonts w:ascii="Arial" w:hAnsi="Arial" w:cs="Arial"/>
          <w:sz w:val="22"/>
          <w:szCs w:val="22"/>
          <w:lang w:val="en-CA"/>
        </w:rPr>
        <w:t>02352</w:t>
      </w:r>
      <w:r w:rsidRPr="00C36CC9">
        <w:rPr>
          <w:rFonts w:ascii="Arial" w:hAnsi="Arial" w:cs="Arial"/>
          <w:sz w:val="22"/>
          <w:szCs w:val="22"/>
          <w:lang w:val="en-CA"/>
        </w:rPr>
        <w:t xml:space="preserve"> “</w:t>
      </w:r>
      <w:r w:rsidR="00C36CC9" w:rsidRPr="00C36CC9">
        <w:rPr>
          <w:rFonts w:ascii="Arial" w:hAnsi="Arial" w:cs="Arial"/>
          <w:sz w:val="22"/>
          <w:szCs w:val="22"/>
          <w:lang w:val="en-CA"/>
        </w:rPr>
        <w:t>CR 38.133 (8.2 8.6) Corrections related to SCell dormancy switching</w:t>
      </w:r>
      <w:r w:rsidRPr="00C36CC9">
        <w:rPr>
          <w:rFonts w:ascii="Arial" w:hAnsi="Arial" w:cs="Arial"/>
          <w:sz w:val="22"/>
          <w:szCs w:val="22"/>
          <w:lang w:val="en-CA"/>
        </w:rPr>
        <w:t>”, Ericsson</w:t>
      </w:r>
      <w:bookmarkEnd w:id="9"/>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4B7C" w14:textId="77777777" w:rsidR="00D35816" w:rsidRDefault="00D35816">
      <w:r>
        <w:separator/>
      </w:r>
    </w:p>
  </w:endnote>
  <w:endnote w:type="continuationSeparator" w:id="0">
    <w:p w14:paraId="69121F19" w14:textId="77777777" w:rsidR="00D35816" w:rsidRDefault="00D3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47BFA" w14:textId="77777777" w:rsidR="00D35816" w:rsidRDefault="00D35816">
      <w:r>
        <w:separator/>
      </w:r>
    </w:p>
  </w:footnote>
  <w:footnote w:type="continuationSeparator" w:id="0">
    <w:p w14:paraId="2F021398" w14:textId="77777777" w:rsidR="00D35816" w:rsidRDefault="00D3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91F6FC7"/>
    <w:multiLevelType w:val="hybridMultilevel"/>
    <w:tmpl w:val="2506DDAE"/>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B6C30BD"/>
    <w:multiLevelType w:val="hybridMultilevel"/>
    <w:tmpl w:val="1F508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F75DB"/>
    <w:multiLevelType w:val="hybridMultilevel"/>
    <w:tmpl w:val="C54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15792"/>
    <w:multiLevelType w:val="hybridMultilevel"/>
    <w:tmpl w:val="A7B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04AD4"/>
    <w:multiLevelType w:val="hybridMultilevel"/>
    <w:tmpl w:val="FD38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6D32149"/>
    <w:multiLevelType w:val="hybridMultilevel"/>
    <w:tmpl w:val="635EA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195755"/>
    <w:multiLevelType w:val="hybridMultilevel"/>
    <w:tmpl w:val="5112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85CB8"/>
    <w:multiLevelType w:val="hybridMultilevel"/>
    <w:tmpl w:val="A744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0DA3"/>
    <w:multiLevelType w:val="hybridMultilevel"/>
    <w:tmpl w:val="96AA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A4F00"/>
    <w:multiLevelType w:val="hybridMultilevel"/>
    <w:tmpl w:val="DE42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970EF"/>
    <w:multiLevelType w:val="hybridMultilevel"/>
    <w:tmpl w:val="B434AFC6"/>
    <w:lvl w:ilvl="0" w:tplc="851267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61AEF"/>
    <w:multiLevelType w:val="hybridMultilevel"/>
    <w:tmpl w:val="96E41548"/>
    <w:lvl w:ilvl="0" w:tplc="C16CCBD8">
      <w:start w:val="2"/>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BC26C63"/>
    <w:multiLevelType w:val="hybridMultilevel"/>
    <w:tmpl w:val="AC0A9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2B1E42"/>
    <w:multiLevelType w:val="hybridMultilevel"/>
    <w:tmpl w:val="3B604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D76E4D"/>
    <w:multiLevelType w:val="hybridMultilevel"/>
    <w:tmpl w:val="8D10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DF00FD"/>
    <w:multiLevelType w:val="hybridMultilevel"/>
    <w:tmpl w:val="C5E69F0E"/>
    <w:lvl w:ilvl="0" w:tplc="2ABE3D9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E4065"/>
    <w:multiLevelType w:val="hybridMultilevel"/>
    <w:tmpl w:val="6EB22148"/>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72AD1"/>
    <w:multiLevelType w:val="hybridMultilevel"/>
    <w:tmpl w:val="567E729A"/>
    <w:lvl w:ilvl="0" w:tplc="DAA8F5E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5"/>
  </w:num>
  <w:num w:numId="3">
    <w:abstractNumId w:val="44"/>
  </w:num>
  <w:num w:numId="4">
    <w:abstractNumId w:val="18"/>
  </w:num>
  <w:num w:numId="5">
    <w:abstractNumId w:val="23"/>
  </w:num>
  <w:num w:numId="6">
    <w:abstractNumId w:val="3"/>
  </w:num>
  <w:num w:numId="7">
    <w:abstractNumId w:val="2"/>
  </w:num>
  <w:num w:numId="8">
    <w:abstractNumId w:val="48"/>
  </w:num>
  <w:num w:numId="9">
    <w:abstractNumId w:val="34"/>
  </w:num>
  <w:num w:numId="10">
    <w:abstractNumId w:val="39"/>
  </w:num>
  <w:num w:numId="11">
    <w:abstractNumId w:val="43"/>
  </w:num>
  <w:num w:numId="12">
    <w:abstractNumId w:val="16"/>
  </w:num>
  <w:num w:numId="13">
    <w:abstractNumId w:val="30"/>
  </w:num>
  <w:num w:numId="14">
    <w:abstractNumId w:val="12"/>
  </w:num>
  <w:num w:numId="15">
    <w:abstractNumId w:val="6"/>
  </w:num>
  <w:num w:numId="16">
    <w:abstractNumId w:val="4"/>
  </w:num>
  <w:num w:numId="17">
    <w:abstractNumId w:val="11"/>
  </w:num>
  <w:num w:numId="18">
    <w:abstractNumId w:val="22"/>
  </w:num>
  <w:num w:numId="19">
    <w:abstractNumId w:val="1"/>
  </w:num>
  <w:num w:numId="20">
    <w:abstractNumId w:val="24"/>
  </w:num>
  <w:num w:numId="21">
    <w:abstractNumId w:val="19"/>
  </w:num>
  <w:num w:numId="22">
    <w:abstractNumId w:val="27"/>
  </w:num>
  <w:num w:numId="23">
    <w:abstractNumId w:val="17"/>
  </w:num>
  <w:num w:numId="24">
    <w:abstractNumId w:val="37"/>
  </w:num>
  <w:num w:numId="25">
    <w:abstractNumId w:val="31"/>
  </w:num>
  <w:num w:numId="26">
    <w:abstractNumId w:val="25"/>
  </w:num>
  <w:num w:numId="27">
    <w:abstractNumId w:val="20"/>
  </w:num>
  <w:num w:numId="28">
    <w:abstractNumId w:val="0"/>
  </w:num>
  <w:num w:numId="29">
    <w:abstractNumId w:val="15"/>
  </w:num>
  <w:num w:numId="30">
    <w:abstractNumId w:val="40"/>
  </w:num>
  <w:num w:numId="31">
    <w:abstractNumId w:val="8"/>
  </w:num>
  <w:num w:numId="32">
    <w:abstractNumId w:val="35"/>
  </w:num>
  <w:num w:numId="33">
    <w:abstractNumId w:val="29"/>
  </w:num>
  <w:num w:numId="34">
    <w:abstractNumId w:val="28"/>
  </w:num>
  <w:num w:numId="35">
    <w:abstractNumId w:val="26"/>
  </w:num>
  <w:num w:numId="36">
    <w:abstractNumId w:val="13"/>
  </w:num>
  <w:num w:numId="37">
    <w:abstractNumId w:val="7"/>
  </w:num>
  <w:num w:numId="38">
    <w:abstractNumId w:val="41"/>
  </w:num>
  <w:num w:numId="39">
    <w:abstractNumId w:val="10"/>
  </w:num>
  <w:num w:numId="40">
    <w:abstractNumId w:val="9"/>
  </w:num>
  <w:num w:numId="41">
    <w:abstractNumId w:val="21"/>
  </w:num>
  <w:num w:numId="42">
    <w:abstractNumId w:val="5"/>
  </w:num>
  <w:num w:numId="43">
    <w:abstractNumId w:val="46"/>
  </w:num>
  <w:num w:numId="44">
    <w:abstractNumId w:val="47"/>
  </w:num>
  <w:num w:numId="45">
    <w:abstractNumId w:val="32"/>
  </w:num>
  <w:num w:numId="46">
    <w:abstractNumId w:val="42"/>
  </w:num>
  <w:num w:numId="47">
    <w:abstractNumId w:val="14"/>
  </w:num>
  <w:num w:numId="48">
    <w:abstractNumId w:val="38"/>
  </w:num>
  <w:num w:numId="4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27F92"/>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49B"/>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54E"/>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1F96"/>
    <w:rsid w:val="001B27AA"/>
    <w:rsid w:val="001B2F69"/>
    <w:rsid w:val="001B33A8"/>
    <w:rsid w:val="001B3484"/>
    <w:rsid w:val="001B36DD"/>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5F2D"/>
    <w:rsid w:val="002E6768"/>
    <w:rsid w:val="002E686D"/>
    <w:rsid w:val="002E7A4C"/>
    <w:rsid w:val="002E7BD8"/>
    <w:rsid w:val="002E7C27"/>
    <w:rsid w:val="002F1B3B"/>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015"/>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A16"/>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23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5EE"/>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6A4"/>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4D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16E"/>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C2F"/>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592"/>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75C"/>
    <w:rsid w:val="007C7935"/>
    <w:rsid w:val="007C7EF5"/>
    <w:rsid w:val="007C7FEF"/>
    <w:rsid w:val="007D05CD"/>
    <w:rsid w:val="007D075A"/>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177"/>
    <w:rsid w:val="0085189A"/>
    <w:rsid w:val="008525FB"/>
    <w:rsid w:val="00852660"/>
    <w:rsid w:val="00853436"/>
    <w:rsid w:val="00853715"/>
    <w:rsid w:val="00854089"/>
    <w:rsid w:val="008543B6"/>
    <w:rsid w:val="00854C1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00C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382"/>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9B4"/>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06B"/>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67AEF"/>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79D"/>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E29"/>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27F5C"/>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CC9"/>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5"/>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C6"/>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A7B"/>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2FFF"/>
    <w:rsid w:val="00CB3047"/>
    <w:rsid w:val="00CB413A"/>
    <w:rsid w:val="00CB427D"/>
    <w:rsid w:val="00CB56CB"/>
    <w:rsid w:val="00CB5913"/>
    <w:rsid w:val="00CB5943"/>
    <w:rsid w:val="00CB6175"/>
    <w:rsid w:val="00CB6C8F"/>
    <w:rsid w:val="00CB7614"/>
    <w:rsid w:val="00CB79D7"/>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2D5"/>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816"/>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7B9"/>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21F"/>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CBF"/>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8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01D4B-EB9E-4866-A6D8-FC04D68D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2021-01-14T10:20:00Z</dcterms:created>
  <dcterms:modified xsi:type="dcterms:W3CDTF">2021-01-15T18:11:00Z</dcterms:modified>
</cp:coreProperties>
</file>